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«Μεταρρύθμιση του θεσμικού πλαισίου της Τοπικής Αυτοδιοίκησης – Εμβάθυνση της Δημοκρατίας – Ενίσχυση της Συμμετοχής –</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Βελτίωση της οικονομικής και α</w:t>
      </w:r>
      <w:bookmarkStart w:id="0" w:name="_GoBack"/>
      <w:bookmarkEnd w:id="0"/>
      <w:r>
        <w:rPr>
          <w:rFonts w:cs="Arial" w:ascii="Book Antiqua" w:hAnsi="Book Antiqua"/>
          <w:b/>
          <w:bCs/>
          <w:sz w:val="24"/>
          <w:szCs w:val="24"/>
        </w:rPr>
        <w:t>ναπτυξιακής λειτουργίας των ΟΤΑ</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[Πρόγραμμα «ΚΛΕΙΣΘΕΝΗΣ Ι»]</w:t>
      </w:r>
    </w:p>
    <w:p>
      <w:pPr>
        <w:pStyle w:val="ListParagraph"/>
        <w:keepNext/>
        <w:numPr>
          <w:ilvl w:val="0"/>
          <w:numId w:val="1"/>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pPr>
        <w:pStyle w:val="Normal"/>
        <w:keepNext/>
        <w:numPr>
          <w:ilvl w:val="0"/>
          <w:numId w:val="0"/>
        </w:numPr>
        <w:spacing w:lineRule="auto" w:line="360" w:before="240" w:after="60"/>
        <w:jc w:val="center"/>
        <w:outlineLvl w:val="0"/>
        <w:rPr>
          <w:rFonts w:ascii="Book Antiqua" w:hAnsi="Book Antiqua" w:cs="Arial"/>
          <w:b/>
          <w:b/>
          <w:bCs/>
          <w:sz w:val="24"/>
          <w:szCs w:val="24"/>
          <w:u w:val="single"/>
        </w:rPr>
      </w:pPr>
      <w:r>
        <w:rPr>
          <w:rFonts w:cs="Arial" w:ascii="Book Antiqua" w:hAnsi="Book Antiqua"/>
          <w:b/>
          <w:bCs/>
          <w:sz w:val="24"/>
          <w:szCs w:val="24"/>
          <w:u w:val="single"/>
        </w:rPr>
      </w:r>
    </w:p>
    <w:p>
      <w:pPr>
        <w:pStyle w:val="Normal"/>
        <w:keepNext/>
        <w:numPr>
          <w:ilvl w:val="0"/>
          <w:numId w:val="0"/>
        </w:numPr>
        <w:spacing w:lineRule="auto" w:line="360" w:before="240" w:after="60"/>
        <w:jc w:val="center"/>
        <w:outlineLvl w:val="0"/>
        <w:rPr>
          <w:rFonts w:ascii="Book Antiqua" w:hAnsi="Book Antiqua" w:cs="Arial"/>
          <w:b/>
          <w:b/>
          <w:bCs/>
          <w:sz w:val="24"/>
          <w:szCs w:val="24"/>
          <w:u w:val="single"/>
        </w:rPr>
      </w:pPr>
      <w:r>
        <w:rPr>
          <w:rFonts w:cs="Arial" w:ascii="Book Antiqua" w:hAnsi="Book Antiqua"/>
          <w:b/>
          <w:bCs/>
          <w:sz w:val="24"/>
          <w:szCs w:val="24"/>
          <w:u w:val="single"/>
        </w:rPr>
        <w:t>ΜΕΡΟΣ ΠΡΩΤΟ</w:t>
      </w:r>
    </w:p>
    <w:p>
      <w:pPr>
        <w:pStyle w:val="Normal"/>
        <w:spacing w:lineRule="auto" w:line="360"/>
        <w:jc w:val="center"/>
        <w:rPr>
          <w:rFonts w:ascii="Book Antiqua" w:hAnsi="Book Antiqua"/>
          <w:b/>
          <w:b/>
          <w:sz w:val="24"/>
          <w:szCs w:val="24"/>
        </w:rPr>
      </w:pPr>
      <w:r>
        <w:rPr>
          <w:rFonts w:ascii="Book Antiqua" w:hAnsi="Book Antiqua"/>
          <w:b/>
          <w:sz w:val="24"/>
          <w:szCs w:val="24"/>
        </w:rPr>
        <w:t>ΜΕΤΑΡΡΥΘΜΙΣΗ ΤΟΥ ΘΕΣΜΙΚΟΥ ΠΛΑΙΣΙΟΥ ΤΗΣ ΤΟΠΙΚΗΣ ΑΥΤΟΔΙΟΙΚΗΣΗΣ</w:t>
      </w:r>
    </w:p>
    <w:p>
      <w:pPr>
        <w:pStyle w:val="Normal"/>
        <w:keepNext/>
        <w:numPr>
          <w:ilvl w:val="0"/>
          <w:numId w:val="0"/>
        </w:numPr>
        <w:spacing w:lineRule="auto" w:line="360" w:before="240" w:after="60"/>
        <w:outlineLvl w:val="0"/>
        <w:rPr>
          <w:rFonts w:ascii="Book Antiqua" w:hAnsi="Book Antiqua" w:cs="Arial"/>
          <w:b/>
          <w:b/>
          <w:bCs/>
          <w:sz w:val="24"/>
          <w:szCs w:val="24"/>
        </w:rPr>
      </w:pPr>
      <w:r>
        <w:rPr>
          <w:rFonts w:cs="Arial" w:ascii="Book Antiqua" w:hAnsi="Book Antiqua"/>
          <w:b/>
          <w:bCs/>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ΚΕΦΑΛΑΙΟ Α’</w:t>
      </w:r>
    </w:p>
    <w:p>
      <w:pPr>
        <w:pStyle w:val="11"/>
        <w:spacing w:lineRule="auto" w:line="360"/>
        <w:jc w:val="center"/>
        <w:rPr>
          <w:rFonts w:ascii="Book Antiqua" w:hAnsi="Book Antiqua" w:cs="Arial"/>
          <w:b/>
          <w:b/>
          <w:sz w:val="24"/>
          <w:szCs w:val="24"/>
        </w:rPr>
      </w:pPr>
      <w:r>
        <w:rPr>
          <w:rFonts w:cs="Arial" w:ascii="Book Antiqua" w:hAnsi="Book Antiqua"/>
          <w:b/>
          <w:sz w:val="24"/>
          <w:szCs w:val="24"/>
        </w:rPr>
        <w:t>ΚΑΤΗΓΟΡΙΕΣ ΔΗΜΩΝ΄</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w:t>
      </w:r>
    </w:p>
    <w:p>
      <w:pPr>
        <w:pStyle w:val="11"/>
        <w:spacing w:lineRule="auto" w:line="360"/>
        <w:jc w:val="center"/>
        <w:rPr>
          <w:rFonts w:ascii="Book Antiqua" w:hAnsi="Book Antiqua" w:cs="Arial"/>
          <w:b/>
          <w:b/>
          <w:sz w:val="24"/>
          <w:szCs w:val="24"/>
        </w:rPr>
      </w:pPr>
      <w:r>
        <w:rPr>
          <w:rFonts w:cs="Arial" w:ascii="Book Antiqua" w:hAnsi="Book Antiqua"/>
          <w:b/>
          <w:sz w:val="24"/>
          <w:szCs w:val="24"/>
        </w:rPr>
        <w:t>Κατηγορίες Δήμων</w:t>
      </w:r>
    </w:p>
    <w:p>
      <w:pPr>
        <w:pStyle w:val="11"/>
        <w:spacing w:lineRule="auto" w:line="360"/>
        <w:jc w:val="both"/>
        <w:rPr>
          <w:rFonts w:ascii="Book Antiqua" w:hAnsi="Book Antiqua" w:cs="Arial"/>
          <w:sz w:val="24"/>
          <w:szCs w:val="24"/>
        </w:rPr>
      </w:pPr>
      <w:r>
        <w:rPr>
          <w:rFonts w:cs="Arial" w:ascii="Book Antiqua" w:hAnsi="Book Antiqua"/>
          <w:sz w:val="24"/>
          <w:szCs w:val="24"/>
        </w:rPr>
        <w:t>Στο ν. 3852/2010 (Α’ 87)  προστίθεται άρθρο 2Α ως εξής:</w:t>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«Κατηγορίες Δήμων</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μητροπολιτικού χαρακτήρα και τη θέση τους στη διοικητική διαίρεση της χώρας, διακρίνονται στις εξής κατηγορίες: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Ευόσμου, Νεάπολης – Συκεών, Παύλου Μελά και Πυλαίας – Χορτιάτη της Περιφερειακής Ενότητας Θεσσαλονίκης.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β) Μεγάλοι Ηπειρωτικοί Δήμοι &amp;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πραγματικού πληθυσμού της τελευταίας απογραφής της Ελληνικής Στατιστικής Αρχής, καθώς και οι δήμοι που αποτελούν πρωτεύουσα νομού.</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δ) Μικροί Ηπειρωτικοί και Μικροί Ορεινοί 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ε) Μεγάλοι και Μεσαίοι Νησιωτικοί Δήμοι. Στην κατηγορία αυτή υπάγονται όλοι οι νησιωτικοί δήμοι με πληθυσμό άνω των 3.500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στ) Μικροί Νησιωτικοί Δήμοι. Στην κατηγορία αυτή υπάγονται όλοι οι νησιωτικοί δήμοι, με πληθυσμό έως 3.500 κατοίκους, βάσει της τελευταίας απογραφής.</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Οι κατηγορίες της προηγούμενης παραγράφου λαμβάνονται υπ’ όψη ιδίως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ύστερα από γνώμη της Κεντρικής Ένωσης Δήμων Ελλάδας (ΚΕΔΕ), οι κατηγορίες της παρ. 1 μπορούν να διακρίνονται περαιτέρω σε υποκατηγορίες, προκειμένου να εξυπηρετηθούν ειδικότερες λειτουργικές, οικονομικές ή αναπτυξιακές ανάγκες των δήμων.</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2</w:t>
      </w:r>
    </w:p>
    <w:p>
      <w:pPr>
        <w:pStyle w:val="11"/>
        <w:spacing w:lineRule="auto" w:line="360"/>
        <w:jc w:val="center"/>
        <w:rPr>
          <w:rFonts w:ascii="Book Antiqua" w:hAnsi="Book Antiqua" w:cs="Arial"/>
          <w:b/>
          <w:b/>
          <w:sz w:val="24"/>
          <w:szCs w:val="24"/>
        </w:rPr>
      </w:pPr>
      <w:r>
        <w:rPr>
          <w:rFonts w:cs="Arial" w:ascii="Book Antiqua" w:hAnsi="Book Antiqua"/>
          <w:b/>
          <w:sz w:val="24"/>
          <w:szCs w:val="24"/>
        </w:rPr>
        <w:t>Ορεινοί δήμοι</w:t>
      </w:r>
    </w:p>
    <w:p>
      <w:pPr>
        <w:pStyle w:val="11"/>
        <w:spacing w:lineRule="auto" w:line="360"/>
        <w:jc w:val="both"/>
        <w:rPr>
          <w:rFonts w:ascii="Book Antiqua" w:hAnsi="Book Antiqua" w:cs="Arial"/>
          <w:sz w:val="24"/>
          <w:szCs w:val="24"/>
        </w:rPr>
      </w:pPr>
      <w:r>
        <w:rPr>
          <w:rFonts w:cs="Arial" w:ascii="Book Antiqua" w:hAnsi="Book Antiqua"/>
          <w:sz w:val="24"/>
          <w:szCs w:val="24"/>
        </w:rPr>
        <w:t>Η παρ. 1 του άρθρου 209 του ν. 3852/2010 τροποποιείται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t>«1. Όπου στον παρόντα νόμο αναφέρονται οι ορεινοί – μειονεκτικοί δήμοι νοούνται οι δήμοι που χαρακτηρίζονται ως ορεινοί στην παρ. 2 του άρθρου 1, καθώς και οι δήμοι των οποίων τουλάχιστον το 50% των κοινοτήτων χαρακτηρίζονται ως ορεινές στο Μητρώο Δήμων, Κοινοτήτων και Οικισμών της Ελληνικής Στατιστικής Αρχής.</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ΚΕΦΑΛΑΙΟ Β’</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ΔΗΜΟΤΙΚΕΣ ΑΡΧΕΣ- ΕΚΛΟΓΙΚΗ ΔΙΑΔΙΚΑΣΙΑ – ΕΚΛΟΓΙΚΟ ΣΥΣΤΗΜΑ</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ΤΜΗΜΑ Α’</w:t>
      </w:r>
    </w:p>
    <w:p>
      <w:pPr>
        <w:pStyle w:val="Normal"/>
        <w:spacing w:lineRule="auto" w:line="360"/>
        <w:jc w:val="center"/>
        <w:rPr>
          <w:rFonts w:ascii="Book Antiqua" w:hAnsi="Book Antiqua"/>
          <w:b/>
          <w:b/>
          <w:sz w:val="24"/>
          <w:szCs w:val="24"/>
        </w:rPr>
      </w:pPr>
      <w:bookmarkStart w:id="1" w:name="_Toc288214481"/>
      <w:r>
        <w:rPr>
          <w:rFonts w:ascii="Book Antiqua" w:hAnsi="Book Antiqua"/>
          <w:b/>
          <w:sz w:val="24"/>
          <w:szCs w:val="24"/>
        </w:rPr>
        <w:t>ΔΗΜΟΤΙΚΕΣ ΑΡΧΕΣ</w:t>
      </w:r>
    </w:p>
    <w:p>
      <w:pPr>
        <w:pStyle w:val="311pt1"/>
        <w:rPr/>
      </w:pPr>
      <w:bookmarkStart w:id="2" w:name="_Toc288214477"/>
      <w:bookmarkStart w:id="3" w:name="_Toc288214477"/>
      <w:r>
        <w:rPr/>
      </w:r>
    </w:p>
    <w:p>
      <w:pPr>
        <w:pStyle w:val="Normal"/>
        <w:spacing w:lineRule="auto" w:line="360"/>
        <w:jc w:val="center"/>
        <w:rPr>
          <w:rFonts w:ascii="Book Antiqua" w:hAnsi="Book Antiqua"/>
          <w:b/>
          <w:b/>
          <w:sz w:val="24"/>
          <w:szCs w:val="24"/>
        </w:rPr>
      </w:pPr>
      <w:r>
        <w:rPr>
          <w:rFonts w:ascii="Book Antiqua" w:hAnsi="Book Antiqua"/>
          <w:b/>
          <w:sz w:val="24"/>
          <w:szCs w:val="24"/>
        </w:rPr>
        <w:t>Άρθρο 3</w:t>
      </w:r>
    </w:p>
    <w:p>
      <w:pPr>
        <w:pStyle w:val="Normal"/>
        <w:spacing w:lineRule="auto" w:line="360"/>
        <w:jc w:val="center"/>
        <w:rPr>
          <w:rFonts w:ascii="Book Antiqua" w:hAnsi="Book Antiqua"/>
          <w:b/>
          <w:b/>
          <w:sz w:val="24"/>
          <w:szCs w:val="24"/>
        </w:rPr>
      </w:pPr>
      <w:r>
        <w:rPr>
          <w:rFonts w:ascii="Book Antiqua" w:hAnsi="Book Antiqua"/>
          <w:b/>
          <w:sz w:val="24"/>
          <w:szCs w:val="24"/>
        </w:rPr>
        <w:t>Συγκρότηση δήμων - Αντικατάσταση άρθρου 2 του ν. 3852/2010</w:t>
      </w:r>
    </w:p>
    <w:p>
      <w:pPr>
        <w:pStyle w:val="Normal"/>
        <w:spacing w:lineRule="auto" w:line="360"/>
        <w:rPr>
          <w:rFonts w:ascii="Book Antiqua" w:hAnsi="Book Antiqua"/>
          <w:sz w:val="24"/>
          <w:szCs w:val="24"/>
        </w:rPr>
      </w:pPr>
      <w:r>
        <w:rPr>
          <w:rFonts w:ascii="Book Antiqua" w:hAnsi="Book Antiqua"/>
          <w:sz w:val="24"/>
          <w:szCs w:val="24"/>
        </w:rPr>
        <w:t>Το άρθρο 2 του ν. 3852/2010 αντικαθίσταται ως εξής:</w:t>
      </w:r>
    </w:p>
    <w:p>
      <w:pPr>
        <w:pStyle w:val="Normal"/>
        <w:spacing w:lineRule="auto" w:line="360"/>
        <w:jc w:val="center"/>
        <w:rPr>
          <w:rFonts w:ascii="Book Antiqua" w:hAnsi="Book Antiqua"/>
          <w:sz w:val="24"/>
          <w:szCs w:val="24"/>
        </w:rPr>
      </w:pPr>
      <w:r>
        <w:rPr>
          <w:rFonts w:ascii="Book Antiqua" w:hAnsi="Book Antiqua"/>
          <w:sz w:val="24"/>
          <w:szCs w:val="24"/>
        </w:rPr>
        <w:t>«Συγκρότηση δήμων</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Κοινότητα συγκροτούν τα τοπικά διαμερίσματα νησιών που έχουν πληθυσμό άνω των χιλίων (1.000) κατοίκων. Επίσης, συγκροτούν κοινότητα, ανεξαρτήτως πληθυσμού, πρώην κοινότητες ή τοπικά διαμερίσματα που εκτείνονται σε όλη την περιφέρεια του νησιού και δεν αποτελούν δήμο, σύμφωνα με το άρθρο 1.</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 xml:space="preserve">Τα δημοτικά διαμερίσματα στα οποία διαιρούνται οι δήμοι άνω των 100.000 κατοίκων μετονομάζονται σε κοινότητες. </w:t>
      </w:r>
    </w:p>
    <w:p>
      <w:pPr>
        <w:pStyle w:val="ListParagraph"/>
        <w:spacing w:lineRule="auto" w:line="360"/>
        <w:jc w:val="both"/>
        <w:rPr>
          <w:rFonts w:ascii="Book Antiqua" w:hAnsi="Book Antiqua"/>
          <w:b/>
          <w:b/>
          <w:sz w:val="24"/>
          <w:szCs w:val="24"/>
        </w:rPr>
      </w:pPr>
      <w:r>
        <w:rPr>
          <w:rFonts w:ascii="Book Antiqua" w:hAnsi="Book Antiqua"/>
          <w:b/>
          <w:sz w:val="24"/>
          <w:szCs w:val="24"/>
        </w:rPr>
      </w:r>
    </w:p>
    <w:p>
      <w:pPr>
        <w:pStyle w:val="ListParagraph"/>
        <w:spacing w:lineRule="auto" w:line="360"/>
        <w:jc w:val="both"/>
        <w:rPr>
          <w:rFonts w:ascii="Book Antiqua" w:hAnsi="Book Antiqua"/>
          <w:b/>
          <w:b/>
          <w:sz w:val="24"/>
          <w:szCs w:val="24"/>
        </w:rPr>
      </w:pPr>
      <w:r>
        <w:rPr>
          <w:rFonts w:ascii="Book Antiqua" w:hAnsi="Book Antiqua"/>
          <w:b/>
          <w:sz w:val="24"/>
          <w:szCs w:val="24"/>
        </w:rPr>
      </w:r>
    </w:p>
    <w:p>
      <w:pPr>
        <w:pStyle w:val="311pt1"/>
        <w:rPr/>
      </w:pPr>
      <w:bookmarkStart w:id="4" w:name="_Toc288214477"/>
      <w:r>
        <w:rPr/>
        <w:t xml:space="preserve">Άρθρο </w:t>
      </w:r>
      <w:bookmarkEnd w:id="4"/>
      <w:r>
        <w:rPr/>
        <w:t>4</w:t>
      </w:r>
    </w:p>
    <w:p>
      <w:pPr>
        <w:pStyle w:val="311pt1"/>
        <w:rPr/>
      </w:pPr>
      <w:r>
        <w:rPr/>
        <w:t>Κοινότητες – Όργανα διοίκησης κοινοτήτων – Αντικατάσταση άρθρου 8 του ν. 3852/2010</w:t>
      </w:r>
    </w:p>
    <w:p>
      <w:pPr>
        <w:pStyle w:val="Normal"/>
        <w:spacing w:lineRule="auto" w:line="360"/>
        <w:rPr>
          <w:rFonts w:ascii="Book Antiqua" w:hAnsi="Book Antiqua"/>
          <w:sz w:val="24"/>
          <w:szCs w:val="24"/>
        </w:rPr>
      </w:pPr>
      <w:r>
        <w:rPr>
          <w:rFonts w:ascii="Book Antiqua" w:hAnsi="Book Antiqua"/>
          <w:sz w:val="24"/>
          <w:szCs w:val="24"/>
        </w:rPr>
        <w:t>Το άρθρο 8 του ν. 3852/2010 αντικαθίσταται ως εξής:</w:t>
      </w:r>
    </w:p>
    <w:p>
      <w:pPr>
        <w:pStyle w:val="311pt1"/>
        <w:rPr/>
      </w:pPr>
      <w:r>
        <w:rPr/>
        <w:t>«Κοινότητες  – Όργανα διοίκησης κοινοτήτων</w:t>
      </w:r>
    </w:p>
    <w:p>
      <w:pPr>
        <w:pStyle w:val="HTMLPreformatted"/>
        <w:numPr>
          <w:ilvl w:val="0"/>
          <w:numId w:val="34"/>
        </w:numPr>
        <w:spacing w:lineRule="auto" w:line="360"/>
        <w:ind w:left="720" w:right="150" w:hanging="360"/>
        <w:jc w:val="both"/>
        <w:rPr>
          <w:rFonts w:ascii="Book Antiqua" w:hAnsi="Book Antiqua" w:cs="Arial"/>
          <w:sz w:val="24"/>
          <w:szCs w:val="24"/>
        </w:rPr>
      </w:pPr>
      <w:r>
        <w:rPr>
          <w:rFonts w:cs="Arial" w:ascii="Book Antiqua" w:hAnsi="Book Antiqua"/>
          <w:sz w:val="24"/>
          <w:szCs w:val="24"/>
        </w:rPr>
        <w:t>Όργανα των κοινοτήτων με πληθυσμό άνω των πεντακοσίων (500) κατοίκων είναι: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Το συμβούλιο της κοινότητας.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πρόεδρος του συμβουλίου της κοινότητας.</w:t>
      </w:r>
    </w:p>
    <w:p>
      <w:pPr>
        <w:pStyle w:val="HTMLPreformatted"/>
        <w:numPr>
          <w:ilvl w:val="0"/>
          <w:numId w:val="34"/>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συμβούλιο της κοινότητας αποτελείται από τρία (3) μέλη σε κοινότητες με πληθυσμό από πεντακόσιους έναν έως δύο χιλιάδες (501-2.000) κατοίκους, από πέντε (5) μέλη σε κοινότητες με πληθυσμό από δύο χιλιάδες έναν έως δέκα χιλιάδες (2.001-10.000) κατοίκους, έντεκα (11) μέλη σε κοινότητες με πληθυσμό από δέκα χιλιάδες έναν έως πενήντα χιλιάδες (10.001-50.000) κατοίκους και δεκαπέντε (15) μέλη σε κοινότητες με πληθυσμό από πενήντα χιλιάδες έναν (50.001) και άνω κατοίκους.</w:t>
      </w:r>
    </w:p>
    <w:p>
      <w:pPr>
        <w:pStyle w:val="HTMLPreformatted"/>
        <w:numPr>
          <w:ilvl w:val="0"/>
          <w:numId w:val="34"/>
        </w:numPr>
        <w:spacing w:lineRule="auto" w:line="360"/>
        <w:ind w:left="720" w:right="150" w:hanging="360"/>
        <w:jc w:val="both"/>
        <w:rPr>
          <w:rFonts w:ascii="Book Antiqua" w:hAnsi="Book Antiqua" w:cs="Arial"/>
          <w:sz w:val="24"/>
          <w:szCs w:val="24"/>
        </w:rPr>
      </w:pPr>
      <w:r>
        <w:rPr>
          <w:rFonts w:ascii="Book Antiqua" w:hAnsi="Book Antiqua"/>
          <w:bCs/>
          <w:sz w:val="24"/>
          <w:szCs w:val="24"/>
        </w:rPr>
        <w:t xml:space="preserve">Όργανο </w:t>
      </w:r>
      <w:r>
        <w:rPr>
          <w:rFonts w:cs="Arial" w:ascii="Book Antiqua" w:hAnsi="Book Antiqua"/>
          <w:sz w:val="24"/>
          <w:szCs w:val="24"/>
        </w:rPr>
        <w:t>των κοινοτήτων με πληθυσμό έως και πεντακόσιους (500) κατοίκους είναι ο πρόεδρος της κοινότητας.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cs="Arial"/>
          <w:b/>
          <w:b/>
          <w:bCs/>
          <w:iCs/>
          <w:sz w:val="24"/>
          <w:szCs w:val="24"/>
        </w:rPr>
      </w:pPr>
      <w:r>
        <w:rPr>
          <w:rFonts w:cs="Arial" w:ascii="Book Antiqua" w:hAnsi="Book Antiqua"/>
          <w:b/>
          <w:bCs/>
          <w:iCs/>
          <w:sz w:val="24"/>
          <w:szCs w:val="24"/>
        </w:rPr>
      </w:r>
    </w:p>
    <w:p>
      <w:pPr>
        <w:pStyle w:val="Normal"/>
        <w:spacing w:lineRule="auto" w:line="360"/>
        <w:jc w:val="center"/>
        <w:rPr>
          <w:rFonts w:ascii="Book Antiqua" w:hAnsi="Book Antiqua" w:cs="Arial"/>
          <w:b/>
          <w:b/>
          <w:bCs/>
          <w:iCs/>
          <w:sz w:val="24"/>
          <w:szCs w:val="24"/>
        </w:rPr>
      </w:pPr>
      <w:r>
        <w:rPr>
          <w:rFonts w:cs="Arial" w:ascii="Book Antiqua" w:hAnsi="Book Antiqua"/>
          <w:b/>
          <w:bCs/>
          <w:iCs/>
          <w:sz w:val="24"/>
          <w:szCs w:val="24"/>
        </w:rPr>
        <w:t>ΤΜΗΜΑ Β’</w:t>
        <w:br/>
      </w:r>
      <w:bookmarkEnd w:id="1"/>
      <w:r>
        <w:rPr>
          <w:rFonts w:cs="Arial" w:ascii="Book Antiqua" w:hAnsi="Book Antiqua"/>
          <w:b/>
          <w:bCs/>
          <w:iCs/>
          <w:sz w:val="24"/>
          <w:szCs w:val="24"/>
        </w:rPr>
        <w:t>ΕΚΛΟΓΙΚΗ ΔΙΑΔΙΚΑΣΙΑ – ΕΚΛΟΓΙΚΟ ΣΥΣΤΗΜΑ</w:t>
      </w:r>
    </w:p>
    <w:p>
      <w:pPr>
        <w:pStyle w:val="Normal"/>
        <w:spacing w:lineRule="auto" w:line="360"/>
        <w:jc w:val="center"/>
        <w:rPr>
          <w:rFonts w:ascii="Book Antiqua" w:hAnsi="Book Antiqua" w:cs="Arial"/>
          <w:bCs/>
          <w:iCs/>
          <w:sz w:val="24"/>
          <w:szCs w:val="24"/>
        </w:rPr>
      </w:pPr>
      <w:r>
        <w:rPr>
          <w:rFonts w:cs="Arial" w:ascii="Book Antiqua" w:hAnsi="Book Antiqua"/>
          <w:bCs/>
          <w:iCs/>
          <w:sz w:val="24"/>
          <w:szCs w:val="24"/>
        </w:rPr>
      </w:r>
    </w:p>
    <w:p>
      <w:pPr>
        <w:pStyle w:val="Normal"/>
        <w:keepNext/>
        <w:numPr>
          <w:ilvl w:val="0"/>
          <w:numId w:val="0"/>
        </w:numPr>
        <w:spacing w:lineRule="auto" w:line="360" w:before="240" w:after="60"/>
        <w:ind w:right="26" w:hanging="0"/>
        <w:jc w:val="center"/>
        <w:outlineLvl w:val="2"/>
        <w:rPr>
          <w:rFonts w:ascii="Book Antiqua" w:hAnsi="Book Antiqua"/>
          <w:b/>
          <w:b/>
          <w:bCs/>
          <w:sz w:val="24"/>
          <w:szCs w:val="24"/>
        </w:rPr>
      </w:pPr>
      <w:bookmarkStart w:id="5" w:name="_Toc288214482"/>
      <w:r>
        <w:rPr>
          <w:rFonts w:ascii="Book Antiqua" w:hAnsi="Book Antiqua"/>
          <w:b/>
          <w:bCs/>
          <w:sz w:val="24"/>
          <w:szCs w:val="24"/>
        </w:rPr>
        <w:t>Άρθρο 5</w:t>
      </w:r>
    </w:p>
    <w:p>
      <w:pPr>
        <w:pStyle w:val="Normal"/>
        <w:keepNext/>
        <w:numPr>
          <w:ilvl w:val="0"/>
          <w:numId w:val="0"/>
        </w:numPr>
        <w:spacing w:lineRule="auto" w:line="360" w:before="240" w:after="60"/>
        <w:ind w:right="26" w:hanging="0"/>
        <w:jc w:val="center"/>
        <w:outlineLvl w:val="2"/>
        <w:rPr>
          <w:rFonts w:ascii="Book Antiqua" w:hAnsi="Book Antiqua"/>
          <w:b/>
          <w:b/>
          <w:bCs/>
          <w:sz w:val="24"/>
          <w:szCs w:val="24"/>
        </w:rPr>
      </w:pPr>
      <w:r>
        <w:rPr>
          <w:rFonts w:ascii="Book Antiqua" w:hAnsi="Book Antiqua"/>
          <w:b/>
          <w:bCs/>
          <w:sz w:val="24"/>
          <w:szCs w:val="24"/>
        </w:rPr>
        <w:t>Διάρκεια δημοτικής περιόδου – Αντικατάσταση άρθρου 9 του ν. 3852/2010</w:t>
      </w:r>
    </w:p>
    <w:p>
      <w:pPr>
        <w:pStyle w:val="Normal"/>
        <w:keepNext/>
        <w:numPr>
          <w:ilvl w:val="0"/>
          <w:numId w:val="0"/>
        </w:numPr>
        <w:spacing w:lineRule="auto" w:line="360" w:before="240" w:after="60"/>
        <w:ind w:right="26" w:hanging="0"/>
        <w:jc w:val="both"/>
        <w:outlineLvl w:val="2"/>
        <w:rPr>
          <w:rFonts w:ascii="Book Antiqua" w:hAnsi="Book Antiqua"/>
          <w:bCs/>
          <w:sz w:val="24"/>
          <w:szCs w:val="24"/>
        </w:rPr>
      </w:pPr>
      <w:r>
        <w:rPr>
          <w:rFonts w:ascii="Book Antiqua" w:hAnsi="Book Antiqua"/>
          <w:bCs/>
          <w:sz w:val="24"/>
          <w:szCs w:val="24"/>
        </w:rPr>
        <w:t>Το άρθρο 9 του ν. 3852/2010 αντικαθίσταται ως εξής:</w:t>
      </w:r>
    </w:p>
    <w:p>
      <w:pPr>
        <w:pStyle w:val="Normal"/>
        <w:keepNext/>
        <w:numPr>
          <w:ilvl w:val="0"/>
          <w:numId w:val="0"/>
        </w:numPr>
        <w:spacing w:lineRule="auto" w:line="360" w:before="240" w:after="60"/>
        <w:ind w:right="26" w:hanging="0"/>
        <w:jc w:val="center"/>
        <w:outlineLvl w:val="2"/>
        <w:rPr>
          <w:rFonts w:ascii="Book Antiqua" w:hAnsi="Book Antiqua"/>
          <w:bCs/>
          <w:sz w:val="24"/>
          <w:szCs w:val="24"/>
        </w:rPr>
      </w:pPr>
      <w:bookmarkStart w:id="6" w:name="_Toc288214482"/>
      <w:bookmarkEnd w:id="6"/>
      <w:r>
        <w:rPr>
          <w:rFonts w:ascii="Book Antiqua" w:hAnsi="Book Antiqua"/>
          <w:bCs/>
          <w:sz w:val="24"/>
          <w:szCs w:val="24"/>
        </w:rPr>
        <w:t>«Διάρκεια δημοτικής περιόδου</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Ο δήμαρχος και οι δημοτικοί σύμβουλοι, οι σύμβουλοι κοινότητας και οι πρόεδροι κοινότητας των κοινοτήτων έως και πεντακοσίων (500) κατοίκων, εκλέγονται κάθε τέσσερα (4) χρόνια με άμεση, καθολική και μυστική ψηφοφορία.</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Η εκλογή στα ανωτέρω αξιώματα γίνεται τη δεύτερη Κυριακή του μηνός Οκτωβρίου, κάθε τέταρτο έτος.</w:t>
      </w:r>
    </w:p>
    <w:p>
      <w:pPr>
        <w:pStyle w:val="Normal"/>
        <w:spacing w:lineRule="auto" w:line="360" w:before="0" w:after="0"/>
        <w:ind w:left="709" w:right="150" w:hanging="0"/>
        <w:jc w:val="both"/>
        <w:rPr>
          <w:rFonts w:ascii="Book Antiqua" w:hAnsi="Book Antiqua" w:cs="Arial"/>
          <w:sz w:val="24"/>
          <w:szCs w:val="24"/>
          <w:lang w:eastAsia="el-GR"/>
        </w:rPr>
      </w:pPr>
      <w:r>
        <w:rPr>
          <w:rFonts w:cs="Arial" w:ascii="Book Antiqua" w:hAnsi="Book Antiqua"/>
          <w:sz w:val="24"/>
          <w:szCs w:val="24"/>
          <w:lang w:eastAsia="el-GR"/>
        </w:rP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pPr>
        <w:pStyle w:val="Normal"/>
        <w:spacing w:lineRule="auto" w:line="360" w:before="0" w:after="0"/>
        <w:ind w:left="709" w:right="150" w:hanging="0"/>
        <w:jc w:val="both"/>
        <w:rPr>
          <w:rFonts w:ascii="Book Antiqua" w:hAnsi="Book Antiqua" w:cs="Arial"/>
          <w:sz w:val="24"/>
          <w:szCs w:val="24"/>
          <w:lang w:eastAsia="el-GR"/>
        </w:rPr>
      </w:pPr>
      <w:r>
        <w:rPr>
          <w:rFonts w:cs="Arial" w:ascii="Book Antiqua" w:hAnsi="Book Antiqua"/>
          <w:sz w:val="24"/>
          <w:szCs w:val="24"/>
          <w:lang w:eastAsia="el-GR"/>
        </w:rPr>
        <w:t>Με την επιφύλαξη ειδικότερων ρυθμίσεων, η προεκλογική περίοδος αρχίζει δύο (2) μήνες πριν την ημερομηνία των εκλογών.</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rPr>
        <w:t>Για την πρώτη εφαρμογή του παρόντος, ο πρώτος γύρος της εκλογικής διαδικασίας στα αξιώματα της παρ. 1 του άρθρου 9 του ν. 3852/2010 θα διεξαχθεί την 13</w:t>
      </w:r>
      <w:r>
        <w:rPr>
          <w:rFonts w:cs="Arial" w:ascii="Book Antiqua" w:hAnsi="Book Antiqua"/>
          <w:sz w:val="24"/>
          <w:szCs w:val="24"/>
          <w:vertAlign w:val="superscript"/>
        </w:rPr>
        <w:t>η</w:t>
      </w:r>
      <w:r>
        <w:rPr>
          <w:rFonts w:cs="Arial" w:ascii="Book Antiqua" w:hAnsi="Book Antiqua"/>
          <w:sz w:val="24"/>
          <w:szCs w:val="24"/>
        </w:rPr>
        <w:t xml:space="preserve"> Οκτωβρίου 2019 και η εγκατάσταση των νέων αρχών θα γίνει την 1</w:t>
      </w:r>
      <w:r>
        <w:rPr>
          <w:rFonts w:cs="Arial" w:ascii="Book Antiqua" w:hAnsi="Book Antiqua"/>
          <w:sz w:val="24"/>
          <w:szCs w:val="24"/>
          <w:vertAlign w:val="superscript"/>
        </w:rPr>
        <w:t>η</w:t>
      </w:r>
      <w:r>
        <w:rPr>
          <w:rFonts w:cs="Arial" w:ascii="Book Antiqua" w:hAnsi="Book Antiqua"/>
          <w:sz w:val="24"/>
          <w:szCs w:val="24"/>
        </w:rPr>
        <w:t xml:space="preserve"> Ιανουαρίου 2020.</w:t>
      </w:r>
      <w:r>
        <w:rPr>
          <w:rFonts w:cs="Arial" w:ascii="Book Antiqua" w:hAnsi="Book Antiqua"/>
          <w:sz w:val="24"/>
          <w:szCs w:val="24"/>
          <w:lang w:eastAsia="el-GR"/>
        </w:rPr>
        <w:t xml:space="preserve"> Η τρέχουσα δημοτική περίοδος παρατείνεται μέχρι την 31</w:t>
      </w:r>
      <w:r>
        <w:rPr>
          <w:rFonts w:cs="Arial" w:ascii="Book Antiqua" w:hAnsi="Book Antiqua"/>
          <w:sz w:val="24"/>
          <w:szCs w:val="24"/>
          <w:vertAlign w:val="superscript"/>
          <w:lang w:eastAsia="el-GR"/>
        </w:rPr>
        <w:t>η</w:t>
      </w:r>
      <w:r>
        <w:rPr>
          <w:rFonts w:cs="Arial" w:ascii="Book Antiqua" w:hAnsi="Book Antiqua"/>
          <w:sz w:val="24"/>
          <w:szCs w:val="24"/>
          <w:lang w:eastAsia="el-GR"/>
        </w:rPr>
        <w:t xml:space="preserve"> Δεκεμβρίου 2019 και η θητεία των δημοτικών αρχών λογίζεται πλήρης για όλες τις συνέπειες».</w:t>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6</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Τροποποίηση άρθρου 10 του ν. 3852/2010</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Η παρ. 2 του άρθρου 10 του ν. 3852/2010 αντικαθίσταται ως εξής: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«2. 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σύμφωνα με την κείμενη νομοθεσία στους ειδικούς εκλογικούς καταλόγους.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t>Άρθρο 7</w:t>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t>Τροποποίηση άρθρου 11 του ν. 3852/2010</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Το εδάφιο β’ της παρ. 1 του άρθρου 11 του ν. 3852/2010 αντικαθίσταται ως εξής: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«Δικαίωμα συμμετοχής στην ψηφοφορία για την εκλογή των μελών των συμβουλίων των κοινοτήτων με πληθυσμό άνω των πεντακοσίων (500) κατοίκων και των προέδρων των κοινοτήτων με πληθυσμό μέχρι πεντακοσίους (500) κατοίκους έχουν οι εκλογείς που είναι εγγεγραμμένοι στους αντίστοιχους εκλογικούς καταλόγους».</w:t>
      </w:r>
    </w:p>
    <w:p>
      <w:pPr>
        <w:pStyle w:val="Normal"/>
        <w:spacing w:lineRule="auto" w:line="360" w:before="0" w:after="0"/>
        <w:ind w:left="720"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Normal"/>
        <w:spacing w:lineRule="auto" w:line="360" w:before="0" w:after="0"/>
        <w:ind w:left="720"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311pt"/>
        <w:rPr>
          <w:b/>
          <w:b/>
        </w:rPr>
      </w:pPr>
      <w:r>
        <w:rPr>
          <w:b/>
        </w:rPr>
        <w:t>Άρθρο  8</w:t>
      </w:r>
    </w:p>
    <w:p>
      <w:pPr>
        <w:pStyle w:val="311pt"/>
        <w:rPr>
          <w:b/>
          <w:b/>
        </w:rPr>
      </w:pPr>
      <w:r>
        <w:rPr>
          <w:b/>
        </w:rPr>
        <w:t>Εκλογικοί κατάλογοι – Αντικατάσταση άρθρου 12 του ν. 3852/2010</w:t>
      </w:r>
    </w:p>
    <w:p>
      <w:pPr>
        <w:pStyle w:val="311pt"/>
        <w:rPr/>
      </w:pPr>
      <w:r>
        <w:rPr/>
        <w:t>Το άρθρο 12 του ν. 3852/2010 αντικαθίσταται ως εξής:</w:t>
      </w:r>
    </w:p>
    <w:p>
      <w:pPr>
        <w:pStyle w:val="311pt"/>
        <w:rPr/>
      </w:pPr>
      <w:r>
        <w:rPr/>
        <w:t>«Εκλογικοί κατάλογοι</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δημοτικών και περιφερειακών αρχών, των συμβουλίων των κοινοτήτων και των προέδρων των κοινοτήτων κάτω των πεντακοσίων (500) κατοίκων. Ισχύουν επίσης, οι ειδικοί εκλογικοί κατάλογοι των πολιτών της Ευρωπαϊκής Ένωσης σύμφωνα με τις διατάξεις του π.δ. 133/1997, όπως ισχύουν».</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9</w:t>
      </w:r>
    </w:p>
    <w:p>
      <w:pPr>
        <w:pStyle w:val="Normal"/>
        <w:spacing w:lineRule="auto" w:line="360"/>
        <w:jc w:val="center"/>
        <w:rPr>
          <w:rFonts w:ascii="Book Antiqua" w:hAnsi="Book Antiqua"/>
          <w:b/>
          <w:b/>
          <w:sz w:val="24"/>
          <w:szCs w:val="24"/>
        </w:rPr>
      </w:pPr>
      <w:r>
        <w:rPr>
          <w:rFonts w:ascii="Book Antiqua" w:hAnsi="Book Antiqua"/>
          <w:b/>
          <w:sz w:val="24"/>
          <w:szCs w:val="24"/>
        </w:rPr>
        <w:t>Προσόντα εκλογιμότητας για την ανάδειξη των δημοτικών αρχών – Αντικατάσταση άρθρου 13 του ν. 3852/2010</w:t>
      </w:r>
    </w:p>
    <w:p>
      <w:pPr>
        <w:pStyle w:val="Normal"/>
        <w:spacing w:lineRule="auto" w:line="360"/>
        <w:rPr>
          <w:rFonts w:ascii="Book Antiqua" w:hAnsi="Book Antiqua"/>
          <w:sz w:val="24"/>
          <w:szCs w:val="24"/>
        </w:rPr>
      </w:pPr>
      <w:r>
        <w:rPr>
          <w:rFonts w:ascii="Book Antiqua" w:hAnsi="Book Antiqua"/>
          <w:sz w:val="24"/>
          <w:szCs w:val="24"/>
        </w:rPr>
        <w:t>Το άρθρο 13 του ν. 3852/2010 αντικαθίσταται ως εξής:</w:t>
      </w:r>
    </w:p>
    <w:p>
      <w:pPr>
        <w:pStyle w:val="311pt1"/>
        <w:rPr/>
      </w:pPr>
      <w:r>
        <w:rPr/>
        <w:t>«Προσόντα εκλογιμότητας για την ανάδειξη των δημοτικών αρχών</w:t>
      </w:r>
    </w:p>
    <w:p>
      <w:pPr>
        <w:pStyle w:val="HTMLPreformatted"/>
        <w:numPr>
          <w:ilvl w:val="0"/>
          <w:numId w:val="4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Δήμαρχος μπορεί να εκλεγεί ο δημότης που έχει την ικανότητα να εκλέγει και έχει συμπληρώσει το 21ο έτος της ηλικίας του κατά την ημέρα διενέργειας των εκλογών.</w:t>
      </w:r>
    </w:p>
    <w:p>
      <w:pPr>
        <w:pStyle w:val="HTMLPreformatted"/>
        <w:numPr>
          <w:ilvl w:val="0"/>
          <w:numId w:val="4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Δημοτικός σύμβουλος, σύμβουλος κοινότητας ή πρόεδρος κοινότητας κάτω των πεντακοσίων (500) κατοίκων μπορεί να εκλεγεί:</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ο δημότης που έχει την ικανότητα να εκλέγει και έχει συμπληρώσει το 18ο έτος της ηλικίας του κατά την ημέρα των εκλογών και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Κωλύματα εκλογιμότητας και ασυμβίβαστα – Αντικατάσταση άρθρου 14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14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«Κωλύματα εκλογιμότητας και ασυμβίβαστα</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εκλεγούν ή να είναι δήμαρχοι, δημοτικοί σύμβουλοι, σύμβουλοι ή πρόεδροι κοινότητας: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Δικαστικοί λειτουργοί, αξιωματικοί των ενόπλων δυνάμεων και των σωμάτων ασφαλείας, θρησκευτικοί λειτουργοί των γνωστών θρησκειών και μέλη Ανεξαρτήτων Αρχών. Κατ’ εξαίρεση, δικαστικοί λειτουργοί και αξιωματικοί των ενόπλων δυνάμεων και των σωμάτων ασφαλείας, εφ’ όσον δεν υπηρέτησαν εντός των ορίων του δήμου στον οποίο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ημερομηνία ανακήρυξης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Δημοτικός και Περιφερειακός Διαμεσολαβητής, εφόσον η χωρική του αρμοδιότητα αφορά ή καταλαμβάνει το δήμο για τον οποίο θέτει υποψηφιότητα.</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γ) Ο Επόπτης ΟΤΑ, στο σύνολο των δήμων στους οποίους εκτείνεται η αρμοδιότητά του, για πέντε (5) έτη από τη λήξη της θητείας του, ακόμα και αν παραιτηθεί από τη θέση του πριν τη λήξη αυτής.</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στους δήμους στη χωρική περιφέρεια των οποίων εκτείνονταν η αρμοδιότητά τους, μέσα στο δεκαοκτάμηνο πριν από τη διενέργεια των δημοτικών εκλογών. </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ε) Υπάλληλοι με σχέση εργασίας δημοσίου δικαίου και ιδιωτικού δικαίου αορίστου χρόνου του Δημοσίου,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στους δήμους και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το αντικείμενο της δραστηριότητάς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προηγούμενης περίπτωσης.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 </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Επιπλέον των οριζόμενων στην προηγούμενη παράγραφο, δεν μπορούν να εκλεγούν ή να είναι δήμαρχοι, δημοτικοί σύμβουλοι, σύμβουλοι ή πρόεδροι κοινότητας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α) Γενικοί γραμματείς δήμων, </w:t>
      </w:r>
      <w:r>
        <w:rPr>
          <w:rFonts w:cs="Arial" w:ascii="Book Antiqua" w:hAnsi="Book Antiqua"/>
          <w:color w:val="000000"/>
          <w:sz w:val="24"/>
          <w:szCs w:val="24"/>
        </w:rPr>
        <w:t xml:space="preserve">ειδικοί σύμβουλοι, επιστημονικοί και ειδικοί συνεργάτες, δικηγόροι με έμμισθη εντολή των δήμων, </w:t>
      </w:r>
      <w:r>
        <w:rPr>
          <w:rFonts w:cs="Arial" w:ascii="Book Antiqua" w:hAnsi="Book Antiqua"/>
          <w:sz w:val="24"/>
          <w:szCs w:val="24"/>
        </w:rPr>
        <w:t>στους δήμους στους οποίους υπηρέτησαν κατά την προηγούμενη των εκλογών αυτοδιοικητική περίοδο.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την επιφύλαξη της παρ. 1 περίπτωση ε) του παρόντος,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ιδιότητα και το αξίωμα του δημάρχου, δημοτικού συμβούλου, του συμβούλου κοινότητας ή του προέδρου κοινότητας κάτω των πεντακοσίων (500) κατοίκων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Κώλυμα εκλογιμότητας συντρέχει για όσους έχουν εκπέσει από οποιοδήποτε αιρετό αξίωμα τους, κατόπιν αμετάκλητης καταδίκης, σύμφωνα με τα οριζόμενα στην περ.</w:t>
      </w:r>
      <w:r>
        <w:rPr>
          <w:rFonts w:cs="Arial" w:ascii="Book Antiqua" w:hAnsi="Book Antiqua"/>
          <w:color w:val="FF0000"/>
          <w:sz w:val="24"/>
          <w:szCs w:val="24"/>
        </w:rPr>
        <w:t xml:space="preserve"> </w:t>
      </w:r>
      <w:r>
        <w:rPr>
          <w:rFonts w:cs="Arial" w:ascii="Book Antiqua" w:hAnsi="Book Antiqua"/>
          <w:sz w:val="24"/>
          <w:szCs w:val="24"/>
        </w:rPr>
        <w:t xml:space="preserve">γ’ της παραγράφου 1 του άρθρου 236, καθώς και για όσους </w:t>
      </w:r>
      <w:r>
        <w:rPr>
          <w:rFonts w:cs="Arial" w:ascii="Book Antiqua" w:hAnsi="Book Antiqua"/>
          <w:color w:val="000000"/>
          <w:sz w:val="24"/>
          <w:szCs w:val="24"/>
        </w:rPr>
        <w:t xml:space="preserve">για όσους έχουν εκπέσει από το αιρετό αξίωμα τους, κατόπιν πειθαρχικού παραπτώματος, κατά τις διατάξεις </w:t>
      </w:r>
      <w:r>
        <w:rPr>
          <w:rFonts w:cs="Arial" w:ascii="Book Antiqua" w:hAnsi="Book Antiqua"/>
          <w:sz w:val="24"/>
          <w:szCs w:val="24"/>
        </w:rPr>
        <w:t>του άρθρου 233.</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Τα κωλύματα της παρούσας παραγράφου ισχύουν για την επόμενη της έκπτωσης αυτοδιοικητική περίοδο.</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Δήμαρχοι, δημοτικοί σύμβουλοι, σύμβουλοι κοινοτήτων ή πρόεδροι κοινοτήτων κάτω των πεντακοσίων (500) κατοίκων που αποδέχονται οποιοδήποτε από τα καθήκοντα ή τα έργα που συνιστούν ασυμβίβαστο ή δεν εξόφλησαν την οφειλή τους κατά το άρθρο 15 ή αποκτούν δημοτικότητα σε άλλο δήμο, εκπίπτουν από το αξίωμα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50.</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Υποψηφιότητα και στους δύο βαθμούς τοπικής αυτοδιοίκησης ή για περισσότερα του ενός αυτοδιοικητικά αξιώματα στον ίδιο ή σε άλλο βαθμό τοπικής αυτοδιοίκησης δεν επιτρέπεται. Υποψήφιος ο οποίος θέτει υποψηφιότητα κατά παράβαση του προηγούμενου εδαφίου, δεν ανακηρύσσεται σε καμία από τις θέσεις για τις οποίες έχει θέσει υποψηφιότητα. Εφ’ όσον, παρά τα ανωτέρω, ανακηρυχθεί, η υποψηφιότητά του, ακυρώνεται για όλες τις θέσεις με την έκδοση δικαστικής απόφασης, κατόπιν σχετικής ένστασης κατά τα άρθρα 45  και επόμενα.</w:t>
      </w:r>
      <w:r>
        <w:rPr>
          <w:rFonts w:cs="Arial" w:ascii="Book Antiqua" w:hAnsi="Book Antiqua"/>
          <w:b/>
          <w:color w:val="FF0000"/>
          <w:sz w:val="24"/>
          <w:szCs w:val="24"/>
        </w:rPr>
        <w:t xml:space="preserve"> </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Δεν επιτρέπεται η σύμπτωση στο ίδιο πρόσωπο της ιδιότητας αιρετού και στους δύο βαθμούς τοπικής αυτοδιοίκησης ή δύο άμεσα αιρετών αυτοδιοικητικών αξιωμάτων. Στην περίπτωση αυτή, επέρχεται αυτοδίκαιη έκπτωση και από τα δύο αξιώματα, με διαπιστωτική πράξη του οικείου Επόπτη Ο.Τ.Α».</w:t>
      </w:r>
    </w:p>
    <w:p>
      <w:pPr>
        <w:pStyle w:val="311pt1"/>
        <w:rPr/>
      </w:pPr>
      <w:r>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11</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Ασυμβίβαστο εξαιτίας οφειλών – Αντικατάσταση άρθρου 15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15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«Ασυμβίβαστο εξαιτίας οφειλών</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r>
        <w:rPr>
          <w:rFonts w:cs="Arial" w:ascii="Book Antiqua" w:hAnsi="Book Antiqua"/>
          <w:sz w:val="24"/>
          <w:szCs w:val="24"/>
        </w:rPr>
        <w:t xml:space="preserve">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 όσον η συνολική οφειλή τους υπερβαίνει το ποσό των πεντακοσίων (500) ευρώ. </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r>
        <w:rPr>
          <w:rFonts w:cs="Arial" w:ascii="Book Antiqua" w:hAnsi="Book Antiqua"/>
          <w:sz w:val="24"/>
          <w:szCs w:val="24"/>
        </w:rPr>
        <w:t>Αν οφειλέτης του δήμου ή των νομικών προσώπων της προηγούμενης παραγράφου εκλεγεί δήμαρχος, δημοτικός σύμβουλος, σύμβουλος ή πρόεδρος κοινότητας, οφείλει να εξοφλήσει την οφειλή του, εφόσον αυτή υπερβαίνει το ποσό των πεντακοσίων (500) ευρώ, έως την ημέρα εγκατάστασης των νέων δημοτικών αρχών.</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bookmarkStart w:id="7" w:name="_Toc288214480"/>
      <w:bookmarkStart w:id="8" w:name="_Toc288214484"/>
      <w:bookmarkEnd w:id="7"/>
      <w:bookmarkEnd w:id="8"/>
      <w:r>
        <w:rPr>
          <w:rFonts w:cs="Arial" w:ascii="Book Antiqua" w:hAnsi="Book Antiqua"/>
          <w:sz w:val="24"/>
          <w:szCs w:val="24"/>
        </w:rPr>
        <w:t>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αυτών δεν γίνει μέσα στην ανωτέρω προθεσμία, εκτός από την περίπτωση διακανονισμού της οφειλής, σύμφωνα με την κείμενη νομοθεσία, εκπίπτουν από το αξίωμά τους».</w:t>
      </w:r>
    </w:p>
    <w:p>
      <w:pPr>
        <w:pStyle w:val="Normal"/>
        <w:spacing w:lineRule="auto" w:line="360"/>
        <w:jc w:val="both"/>
        <w:rPr>
          <w:rFonts w:ascii="Book Antiqua" w:hAnsi="Book Antiqua" w:cs="Arial"/>
          <w:b/>
          <w:b/>
          <w:sz w:val="24"/>
          <w:szCs w:val="24"/>
        </w:rPr>
      </w:pPr>
      <w:r>
        <w:rPr>
          <w:rFonts w:cs="Arial" w:ascii="Book Antiqua" w:hAnsi="Book Antiqua"/>
          <w:b/>
          <w:sz w:val="24"/>
          <w:szCs w:val="24"/>
        </w:rPr>
      </w:r>
    </w:p>
    <w:p>
      <w:pPr>
        <w:pStyle w:val="311pt"/>
        <w:rPr>
          <w:b/>
          <w:b/>
        </w:rPr>
      </w:pPr>
      <w:bookmarkStart w:id="9" w:name="_Toc288214493"/>
      <w:r>
        <w:rPr>
          <w:b/>
        </w:rPr>
        <w:t xml:space="preserve">Άρθρο </w:t>
      </w:r>
      <w:bookmarkEnd w:id="9"/>
      <w:r>
        <w:rPr>
          <w:b/>
        </w:rPr>
        <w:t>12</w:t>
      </w:r>
    </w:p>
    <w:p>
      <w:pPr>
        <w:pStyle w:val="311pt"/>
        <w:rPr>
          <w:b/>
          <w:b/>
        </w:rPr>
      </w:pPr>
      <w:r>
        <w:rPr>
          <w:b/>
        </w:rPr>
        <w:t>Αντιπρόσωποι Δικαστικής Αρχής και έφοροι των αντιπροσώπων – Αντικατάσταση του άρθρου 17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17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«Αντιπρόσωποι της Δικαστικής Αρχής και έφοροι των αντιπροσώπων</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το διορισμό των εφόρων και των αντιπροσώπων της δικαστικής αρχής εφαρμόζονται αναλόγως οι διατάξεις του άρθρου 68 του π.δ. 26/2012 (Α΄ 57), όπως κάθε φορά ισχύει.</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δικηγόροι που είναι βουλευτές, αυτοί που έχουν ανακηρυχθεί υποψήφιοι, καθώς και τα πρόσωπα της παραγράφου 4 του άρθρου 68 του π.δ. 26/2012 δεν διορίζονται αντιπρόσωποι.</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που ανήκει το εκλογικό τμήμα, στο οποίο ασκούν τα καθήκοντά τους και είναι εγγεγραμμένοι στον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προέδρου κοινότητας, μόνο εφόσον είναι εγγεγραμμένοι στον εκλογικό κατάλογο του οικείου δήμου.</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Κ.Δ.Κ. ή επαναληφθεί η ψηφοφορία, σύμφωνα με το άρθρο 33, οι εκλογές διεξάγονται με τα ίδια μέλη των εφορευτικών επιτροπών.</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color w:val="000000"/>
          <w:sz w:val="24"/>
          <w:szCs w:val="24"/>
        </w:rPr>
        <w:t>Η ημερήσια αποζημίωση, οι ημέρες για τις οποίες παρέχεται και τα οδοιπορικά έξοδα των αντιπροσώπων ορίζονται και καταβάλλονται σύμφωνα με τις σχετικές ρυθμίσεις για τις βουλευτικές εκλογές».</w:t>
      </w:r>
    </w:p>
    <w:p>
      <w:pPr>
        <w:pStyle w:val="311pt"/>
        <w:rPr/>
      </w:pPr>
      <w:r>
        <w:rPr/>
      </w:r>
    </w:p>
    <w:p>
      <w:pPr>
        <w:pStyle w:val="311pt"/>
        <w:rPr>
          <w:b/>
          <w:b/>
        </w:rPr>
      </w:pPr>
      <w:r>
        <w:rPr>
          <w:b/>
        </w:rPr>
        <w:t>Άρθρο 13</w:t>
      </w:r>
    </w:p>
    <w:p>
      <w:pPr>
        <w:pStyle w:val="311pt"/>
        <w:rPr>
          <w:b/>
          <w:b/>
        </w:rPr>
      </w:pPr>
      <w:r>
        <w:rPr>
          <w:b/>
        </w:rPr>
        <w:t>Υποψηφιότητες – κατάρτιση συνδυασμών – Αντικατάσταση άρθρου 18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ascii="Book Antiqua" w:hAnsi="Book Antiqua"/>
          <w:sz w:val="24"/>
          <w:szCs w:val="24"/>
        </w:rPr>
        <w:t>«Υποψηφιότητες – Κατάρτιση συνδυασμών</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του δημάρχου και των δημοτικών συμβούλων γίνεται κατά συνδυασμούς. Υποψηφιότητες εκτός συνδυασμών αποκλείονται.</w:t>
      </w:r>
    </w:p>
    <w:p>
      <w:pPr>
        <w:pStyle w:val="HTMLPreformatted"/>
        <w:spacing w:lineRule="auto" w:line="360"/>
        <w:ind w:right="150" w:firstLine="720"/>
        <w:jc w:val="both"/>
        <w:rPr>
          <w:rFonts w:ascii="Book Antiqua" w:hAnsi="Book Antiqua" w:cs="Arial"/>
          <w:sz w:val="24"/>
          <w:szCs w:val="24"/>
        </w:rPr>
      </w:pPr>
      <w:r>
        <w:rPr>
          <w:rFonts w:cs="Arial" w:ascii="Book Antiqua" w:hAnsi="Book Antiqua"/>
          <w:sz w:val="24"/>
          <w:szCs w:val="24"/>
        </w:rPr>
        <w:t xml:space="preserve">Κάθε συνδυασμός περιλαμβάνει: </w:t>
      </w:r>
    </w:p>
    <w:p>
      <w:pPr>
        <w:pStyle w:val="HTMLPreformatted"/>
        <w:spacing w:lineRule="auto" w:line="360"/>
        <w:ind w:right="150" w:firstLine="720"/>
        <w:jc w:val="both"/>
        <w:rPr>
          <w:rFonts w:ascii="Book Antiqua" w:hAnsi="Book Antiqua" w:cs="Arial"/>
          <w:sz w:val="24"/>
          <w:szCs w:val="24"/>
        </w:rPr>
      </w:pPr>
      <w:r>
        <w:rPr>
          <w:rFonts w:cs="Arial" w:ascii="Book Antiqua" w:hAnsi="Book Antiqua"/>
          <w:sz w:val="24"/>
          <w:szCs w:val="24"/>
        </w:rPr>
        <w:t>α) Τον υποψήφιο δήμαρχο και</w:t>
      </w:r>
    </w:p>
    <w:p>
      <w:pPr>
        <w:pStyle w:val="HTMLPreformatted"/>
        <w:spacing w:lineRule="auto" w:line="360"/>
        <w:ind w:left="993" w:right="150" w:hanging="273"/>
        <w:jc w:val="both"/>
        <w:rPr>
          <w:rFonts w:ascii="Book Antiqua" w:hAnsi="Book Antiqua" w:cs="Arial"/>
          <w:sz w:val="24"/>
          <w:szCs w:val="24"/>
        </w:rPr>
      </w:pPr>
      <w:r>
        <w:rPr>
          <w:rFonts w:cs="Arial" w:ascii="Book Antiqua" w:hAnsi="Book Antiqua"/>
          <w:sz w:val="24"/>
          <w:szCs w:val="24"/>
        </w:rPr>
        <w:t>β) Τους υποψήφιους δημοτικούς συμβούλους ανά εκλογική περιφέρεια, σύμφωνα με τις επόμενες παραγράφους.</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Υποψηφιότητα από το ίδιο πρόσωπο για την εκλογή του και ως δημάρχου και ως μέλους δημοτικού συμβουλίου ή μέλους συμβουλίου κοινότητας ή ως προέδρου κοινότητας δεν επιτρέπεται.</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 επικεφαλής του.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Εάν δεν αναγραφεί ένδειξη, ο πρώτος υποψήφιος του συνδυασμού θεωρείται υποψήφιος δήμαρχος.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43"/>
        </w:numPr>
        <w:spacing w:lineRule="auto" w:line="360"/>
        <w:ind w:left="720" w:right="150" w:hanging="360"/>
        <w:jc w:val="both"/>
        <w:rPr>
          <w:rFonts w:ascii="Book Antiqua" w:hAnsi="Book Antiqua" w:cs="Arial"/>
          <w:color w:val="FF0000"/>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του παρόντος.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ονοματεπωνυμικά του στοιχεία. Κάθε υποψήφιος, εφ’ όσον είναι έγγαμος ή έγγαμη ή έχει συνάψει σύμφωνο συμβίωσης, μπορεί να προσθέσει, ανεξαρτήτως σειράς, και το επώνυμο του συζύγου ή συμβιούντος.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Στην περίπτωση που γίνει χρήση μόνο του συζυγικού επωνύμου, αντί του πατρωνύμου τίθεται το όνομα του συζύγου, με την ένδειξη «σύζυγος» ή, συντετμημένα, «συζ.».</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 όσον η παράβαση αφορά στο έμβλημα του συνδυασμού, αυτός ανακηρύσσεται μόνο με το όνομά του και χωρίς έμβλημα, ενώ εφ’ όσον αφορά στο όνομα του συνδυασμού, η δήλωση είναι απαράδεκτη.</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Αν με τη δήλωση του συνδυασμού δεν προσκομίζονται τα προβλεπόμενα στην παρ. 5</w:t>
      </w:r>
      <w:r>
        <w:rPr>
          <w:rFonts w:cs="Arial" w:ascii="Book Antiqua" w:hAnsi="Book Antiqua"/>
          <w:b/>
          <w:sz w:val="24"/>
          <w:szCs w:val="24"/>
        </w:rPr>
        <w:t xml:space="preserve"> </w:t>
      </w:r>
      <w:r>
        <w:rPr>
          <w:rFonts w:cs="Arial" w:ascii="Book Antiqua" w:hAnsi="Book Antiqua"/>
          <w:sz w:val="24"/>
          <w:szCs w:val="24"/>
        </w:rPr>
        <w:t>δικαιολογητικά για κάποιον υποψήφιο,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 xml:space="preserve">Αν η δήλωση του συνδυασμού δεν περιλαμβάνει τα ελάχιστα στοιχεία της παρ. 4 του παρόντος ή δεν περιλαμβάνει έγκυρο όνομα συνδυασμού, σύμφωνα με την παρ.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 γ’ της παρ. 4 ή δεν περιλαμβάνει υποψηφίους για το σύνολο των εκλογικών περιφερειών ή δεν πληροί την ποσόστωση φύλου της παρ. 4  και αυτό βεβαιωθεί από το δικαστήριο, η δήλωση είναι απαράδεκτη. </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w:t>
      </w:r>
      <w:r>
        <w:rPr>
          <w:rFonts w:cs="Arial" w:ascii="Book Antiqua" w:hAnsi="Book Antiqua"/>
          <w:b/>
          <w:sz w:val="24"/>
          <w:szCs w:val="24"/>
        </w:rPr>
        <w:t>.</w:t>
      </w:r>
      <w:r>
        <w:rPr>
          <w:rFonts w:cs="Arial" w:ascii="Book Antiqua" w:hAnsi="Book Antiqua"/>
          <w:sz w:val="24"/>
          <w:szCs w:val="24"/>
        </w:rPr>
        <w:t xml:space="preserve"> Στις ανωτέρω δηλώσεις επισυνάπτονται τα στοιχεία που προβλέπει η παράγραφος 5».</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09" w:right="150" w:hanging="0"/>
        <w:jc w:val="center"/>
        <w:rPr>
          <w:rFonts w:ascii="Book Antiqua" w:hAnsi="Book Antiqua" w:cs="Arial"/>
          <w:b/>
          <w:b/>
          <w:sz w:val="24"/>
          <w:szCs w:val="24"/>
        </w:rPr>
      </w:pPr>
      <w:r>
        <w:rPr>
          <w:rFonts w:cs="Arial" w:ascii="Book Antiqua" w:hAnsi="Book Antiqua"/>
          <w:b/>
          <w:sz w:val="24"/>
          <w:szCs w:val="24"/>
        </w:rPr>
        <w:t>Άρθρο 14</w:t>
      </w:r>
    </w:p>
    <w:p>
      <w:pPr>
        <w:pStyle w:val="HTMLPreformatted"/>
        <w:spacing w:lineRule="auto" w:line="360"/>
        <w:ind w:left="709" w:right="150" w:hanging="0"/>
        <w:jc w:val="center"/>
        <w:rPr>
          <w:rFonts w:ascii="Book Antiqua" w:hAnsi="Book Antiqua" w:cs="Arial"/>
          <w:b/>
          <w:b/>
          <w:sz w:val="24"/>
          <w:szCs w:val="24"/>
        </w:rPr>
      </w:pPr>
      <w:r>
        <w:rPr>
          <w:rFonts w:cs="Arial" w:ascii="Book Antiqua" w:hAnsi="Book Antiqua"/>
          <w:b/>
          <w:sz w:val="24"/>
          <w:szCs w:val="24"/>
        </w:rPr>
        <w:t>Κατάργηση άρθρου 19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19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b/>
          <w:b/>
        </w:rPr>
      </w:pPr>
      <w:r>
        <w:rPr>
          <w:b/>
        </w:rPr>
        <w:t>Άρθρο  15</w:t>
      </w:r>
    </w:p>
    <w:p>
      <w:pPr>
        <w:pStyle w:val="311pt"/>
        <w:rPr>
          <w:b/>
          <w:b/>
        </w:rPr>
      </w:pPr>
      <w:r>
        <w:rPr>
          <w:b/>
        </w:rPr>
        <w:t>Εκλογές κοινοτήτων άνω των 500 κατοίκων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18Α ως εξής:</w:t>
      </w:r>
    </w:p>
    <w:p>
      <w:pPr>
        <w:pStyle w:val="311pt"/>
        <w:rPr/>
      </w:pPr>
      <w:r>
        <w:rPr/>
        <w:t>«Εκλογές κοινοτήτων άνω των 500 κατοίκων – Υποψηφιότητες, κατάρτιση συνδυασμών</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των συμβούλων και των προέδρων των κοινοτήτων με πληθυσμό άνω των πεντακοσίων (500) κατοίκων γίνεται με χωριστή κάλπη και κατά συνδυασμούς. Υποψηφιότητες εκτός συνδυασμών αποκλείονται.</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Κάθε συνδυασμός περιλαμβάνει τους υποψήφιους συμβούλους της κοινότητας, σύμφωνα με τις επόμενες παραγράφους.</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αυτοδιοικητικά αξιώματα.</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οποιοσδήποτε από τους υποψηφίους συμβούλους που μετέχουν σε αυτόν.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709" w:right="150" w:hanging="0"/>
        <w:jc w:val="both"/>
        <w:rPr>
          <w:rFonts w:ascii="Book Antiqua" w:hAnsi="Book Antiqua" w:cs="Arial"/>
          <w:b/>
          <w:b/>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αλφαβητική σειρά, το επώνυμο, το όνομα και το πατρώνυμο των υποψηφίων συμβούλων κοινότητας του συνδυασμού. Για τον τρόπο αναγραφής των ονοματεπωνυμικών στοιχείων των υποψηφίων εφαρμόζεται η παράγραφος 6 του άρθρου 18.</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αριθμός των υποψήφιων συμβούλων πρέπει να είναι τουλάχιστον ίσος με τον αριθμό των εδρών του συμβουλίου της οικείας κοινότητας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Κατ’ εξαίρεση, στις κοινότητες που εκλέγουν τριμελή και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ab/>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Ως προς το όνομα και το έμβλημα του συνδυασμού ισχύουν οι περιορισμοί και οι κανόνες της παρ. 7 του άρθρου 18. Κατ’ εξαίρεση επιτρέπεται να κατατεθούν 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 4 υποβάλλεται υποχρεωτικά, για όλους τους συνδυασμούς του προηγούμενου εδαφίου, από τον υποψήφιο δήμαρχο επικεφαλής του συνδυασμού. </w:t>
      </w:r>
      <w:r>
        <w:rPr>
          <w:rFonts w:cs="Arial" w:ascii="Book Antiqua" w:hAnsi="Book Antiqua"/>
          <w:sz w:val="24"/>
          <w:szCs w:val="24"/>
          <w:lang w:val="en-US"/>
        </w:rPr>
        <w:t>H</w:t>
      </w:r>
      <w:r>
        <w:rPr>
          <w:rFonts w:cs="Arial" w:ascii="Book Antiqua" w:hAnsi="Book Antiqua"/>
          <w:sz w:val="24"/>
          <w:szCs w:val="24"/>
        </w:rPr>
        <w:t xml:space="preserve"> ακύρωση του συνδυασμού σε μία ή περισσότερες κοινότητες δεν επιφέρει ακυρότητα ολόκληρου του συνδυασμού.</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Η δήλωση του συνδυασμού επιδίδεται από οποιονδήποτε υποψήφιο αυτού ή με δικαστικό επιμελητή, ύστερα από παραγγελία οποιουδήποτε υποψηφίου αυτού, στον πρόεδρο του πολυμελούς πρωτοδικείου το αργότερο είκοσι (20) ημέρες πριν από την  ημέρα της ψηφοφορίας.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Κατά τα λοιπά, εφαρμόζονται αναλόγως οι παράγραφοι 8 και 9 του άρθρου 18». </w:t>
      </w:r>
    </w:p>
    <w:p>
      <w:pPr>
        <w:pStyle w:val="HTMLPreformatted"/>
        <w:spacing w:lineRule="auto" w:line="360"/>
        <w:ind w:right="150" w:hanging="0"/>
        <w:jc w:val="both"/>
        <w:rPr>
          <w:rFonts w:ascii="Book Antiqua" w:hAnsi="Book Antiqua" w:cs="Arial"/>
          <w:b/>
          <w:b/>
          <w:color w:val="FF0000"/>
          <w:sz w:val="24"/>
          <w:szCs w:val="24"/>
        </w:rPr>
      </w:pPr>
      <w:r>
        <w:rPr>
          <w:rFonts w:cs="Arial" w:ascii="Book Antiqua" w:hAnsi="Book Antiqua"/>
          <w:b/>
          <w:color w:val="FF0000"/>
          <w:sz w:val="24"/>
          <w:szCs w:val="24"/>
        </w:rPr>
      </w:r>
    </w:p>
    <w:p>
      <w:pPr>
        <w:pStyle w:val="311pt"/>
        <w:rPr>
          <w:b/>
          <w:b/>
        </w:rPr>
      </w:pPr>
      <w:r>
        <w:rPr>
          <w:b/>
        </w:rPr>
        <w:t>Άρθρο 16</w:t>
      </w:r>
    </w:p>
    <w:p>
      <w:pPr>
        <w:pStyle w:val="311pt"/>
        <w:rPr>
          <w:b/>
          <w:b/>
        </w:rPr>
      </w:pPr>
      <w:r>
        <w:rPr>
          <w:b/>
        </w:rPr>
        <w:t>Εκλογές κοινοτήτων έως 500 κατοίκων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18Β ως εξής:</w:t>
      </w:r>
    </w:p>
    <w:p>
      <w:pPr>
        <w:pStyle w:val="311pt"/>
        <w:rPr>
          <w:rFonts w:cs="Arial"/>
        </w:rPr>
      </w:pPr>
      <w:r>
        <w:rPr/>
        <w:t>«Εκλογές κοινοτήτων έως 500 κατοίκων – Υποψηφιότητες σε ενιαίο ψηφοδέλτιο</w:t>
      </w:r>
    </w:p>
    <w:p>
      <w:pPr>
        <w:pStyle w:val="HTMLPreformatted"/>
        <w:numPr>
          <w:ilvl w:val="0"/>
          <w:numId w:val="45"/>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προέδρων των κοινοτήτων έως και πεντακοσίων (500) κατοίκων γίνεται με χωριστή κάλπη και με ενιαίο ψηφοδέλτιο, όλων των μεμονωμένων υποψηφίων. Οι υποψηφιότητες κατατίθενται με γραπτή δήλωση κάθε υποψήφιου προέδρου κοινότητας στην οποία αναγράφεται η κοινότητα για την οποία κατατίθεται υποψηφιότητα και το επώνυμο, το όνομα και το πατρώνυμο του υποψηφίου προέδρου κοινότητας. Για τον τρόπο αναγραφής των ονοματεπωνυμικών στοιχείων των υποψηφίων εφαρμόζεται η παράγραφος 6 του άρθρου 18.</w:t>
      </w:r>
    </w:p>
    <w:p>
      <w:pPr>
        <w:pStyle w:val="HTMLPreformatted"/>
        <w:numPr>
          <w:ilvl w:val="0"/>
          <w:numId w:val="45"/>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Στη δήλωση επισυνάπτονται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tabs>
          <w:tab w:val="left" w:pos="4680" w:leader="none"/>
        </w:tabs>
        <w:spacing w:lineRule="auto" w:line="360"/>
        <w:ind w:left="709" w:right="150" w:firstLine="11"/>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Αν με τη δήλωση υποψηφιότητας δεν προσκομίζονται τα προβλεπόμενα στην προηγούμενη παράγραφο</w:t>
      </w:r>
      <w:r>
        <w:rPr>
          <w:rFonts w:cs="Arial" w:ascii="Book Antiqua" w:hAnsi="Book Antiqua"/>
          <w:color w:val="FF0000"/>
          <w:sz w:val="24"/>
          <w:szCs w:val="24"/>
        </w:rPr>
        <w:t xml:space="preserve"> </w:t>
      </w:r>
      <w:r>
        <w:rPr>
          <w:rFonts w:cs="Arial" w:ascii="Book Antiqua" w:hAnsi="Book Antiqua"/>
          <w:sz w:val="24"/>
          <w:szCs w:val="24"/>
        </w:rPr>
        <w:t>δικαιολογητικά ή η δήλωση υποψηφιότητας του συνδυασμού δεν περιλαμβάνει τα ελάχιστα στοιχεία της παρ.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θέτει υποψηφιότητα σε περισσότερες της μίας κοινότητες ή για περισσότερα του ενός αυτοδιοικητικά αξιώματα».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κοινότητας σε περίπτωση μη υποβολής υποψηφιοτήτων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18Γ ως εξής:</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«Κατάργηση κοινότητας σε περίπτωση με υποβολής δήλωσης συνδυασμού ή υποψηφιότητας προέδρου</w:t>
      </w:r>
    </w:p>
    <w:p>
      <w:pPr>
        <w:pStyle w:val="HTMLPreformatted"/>
        <w:numPr>
          <w:ilvl w:val="0"/>
          <w:numId w:val="46"/>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σε μία κοινότητα ματαιωθεί η εκλογή συμβούλων, επειδή δεν έχει υποβληθεί δήλωση συνδυασμού υποψηφίων ή, σε κοινότητα έως και πεντακοσίων (500) κατοίκων, υποψηφιότητα προέδρου, ο Δήμαρχος εκδίδει αμέσως πρόγραμμα για την επανάληψη της εκλογής.</w:t>
      </w:r>
    </w:p>
    <w:p>
      <w:pPr>
        <w:pStyle w:val="HTMLPreformatted"/>
        <w:numPr>
          <w:ilvl w:val="0"/>
          <w:numId w:val="46"/>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και κατά τη νέα εκλογή δεν δηλωθεί συνδυασμός υποψηφίων ή υποψηφιότητα προέδρου, η κοινότητα αυτή καταργείται και ενώνεται με όμορη κοινότητα του ίδιου δήμου και της κοινότητας με την οποίας συνενώνεται. Η ένωση γίνεται με προεδρικό διάταγμα, που εκδίδεται με πρόταση του Υπουργού Εσωτερικών και γνώμη του οικείου δημοτικού συμβουλίου».</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Ανακήρυξη – κοινοποίηση υποψηφιοτήτων – Αντικατάσταση άρθρου 20 του ν. 3852/2010</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rPr>
          <w:rFonts w:ascii="Book Antiqua" w:hAnsi="Book Antiqua" w:cs="Arial"/>
          <w:sz w:val="24"/>
          <w:szCs w:val="24"/>
        </w:rPr>
      </w:pPr>
      <w:r>
        <w:rPr>
          <w:rFonts w:cs="Arial" w:ascii="Book Antiqua" w:hAnsi="Book Antiqua"/>
          <w:sz w:val="24"/>
          <w:szCs w:val="24"/>
        </w:rPr>
        <w:t>Το άρθρο 20 του ν. 3852/2010 αντικαθίσταται ως εξής:</w:t>
      </w:r>
    </w:p>
    <w:p>
      <w:pPr>
        <w:pStyle w:val="311pt1"/>
        <w:rPr/>
      </w:pPr>
      <w:r>
        <w:rPr/>
        <w:t>«Ανακήρυξη και κοινοποίηση συνδυασμών και υποψηφίων προέδρων</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Τη δέκατη πέμπτη (15η) ημέρα πριν από την ψηφοφορία το πρωτοδικείο ανακηρύσσει σε δημόσια συνεδρίαση τους συνδυασμούς, καθώς και τους υποψηφίους προέδρους κοινοτήτων έως και πεντακοσίων (500) κατοίκων, που έχουν δηλωθεί νόμιμα.</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πρόεδρος του πρωτοδικείου κοινοποιεί αμέσως στον περιφερειάρχη τις σχετικές αποφάσεις.</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περιφερειάρχης θεωρεί και αποστέλλει αμέσως σε κάθε δήμο πίνακα των συνδυασμών και υποψηφίων που έχουν ανακηρυχθεί».</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0" w:name="_Toc288214498"/>
      <w:r>
        <w:rPr>
          <w:rFonts w:ascii="Book Antiqua" w:hAnsi="Book Antiqua"/>
          <w:b/>
          <w:sz w:val="24"/>
          <w:szCs w:val="24"/>
        </w:rPr>
        <w:t xml:space="preserve">Άρθρο  </w:t>
      </w:r>
      <w:bookmarkEnd w:id="10"/>
      <w:r>
        <w:rPr>
          <w:rFonts w:ascii="Book Antiqua" w:hAnsi="Book Antiqua"/>
          <w:b/>
          <w:sz w:val="24"/>
          <w:szCs w:val="24"/>
        </w:rPr>
        <w:t>19</w:t>
      </w:r>
    </w:p>
    <w:p>
      <w:pPr>
        <w:pStyle w:val="Normal"/>
        <w:spacing w:lineRule="auto" w:line="360"/>
        <w:rPr>
          <w:rFonts w:ascii="Book Antiqua" w:hAnsi="Book Antiqua"/>
          <w:b/>
          <w:b/>
          <w:sz w:val="24"/>
          <w:szCs w:val="24"/>
        </w:rPr>
      </w:pPr>
      <w:r>
        <w:rPr>
          <w:rFonts w:ascii="Book Antiqua" w:hAnsi="Book Antiqua"/>
          <w:b/>
          <w:sz w:val="24"/>
          <w:szCs w:val="24"/>
        </w:rPr>
        <w:t>Αντικατάσταση υποψηφίων – Αντικατάσταση άρθρου 21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21 του ν. 3852/2010 αντικαθίσταται ως εξής:</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«Αντικατάσταση υποψηφίων που παραιτήθηκαν ή απεβίωσαν</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υποψήφιος δήμαρχος ή πρόεδρος κοινότητας έως και πεντακοσίων (500) κατοίκων μπορεί να παραιτηθεί από την υποψηφιότητά του. Η παραίτηση γίνεται με γραπτή δήλωση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παραίτησης ή θανάτου του υποψήφιου δημάρχου, τη θέση του στο συνδυασμό καταλαμβάνει είτε νέος υποψήφιος είτε ένας από τους υποψήφιους δημοτικούς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αντίστοιχα.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κατά τα άρθρα 18 και 18Α, οπότε εφαρμόζονται οι διατάξεις περί συμπληρωματικής δήλωσης.</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1" w:name="_Toc288214499"/>
      <w:r>
        <w:rPr>
          <w:rFonts w:ascii="Book Antiqua" w:hAnsi="Book Antiqua"/>
          <w:b/>
          <w:sz w:val="24"/>
          <w:szCs w:val="24"/>
        </w:rPr>
        <w:t>Άρθρο 20</w:t>
      </w:r>
    </w:p>
    <w:p>
      <w:pPr>
        <w:pStyle w:val="Normal"/>
        <w:spacing w:lineRule="auto" w:line="360"/>
        <w:jc w:val="center"/>
        <w:rPr>
          <w:rFonts w:ascii="Book Antiqua" w:hAnsi="Book Antiqua"/>
          <w:b/>
          <w:b/>
          <w:sz w:val="24"/>
          <w:szCs w:val="24"/>
        </w:rPr>
      </w:pPr>
      <w:r>
        <w:rPr>
          <w:rFonts w:ascii="Book Antiqua" w:hAnsi="Book Antiqua"/>
          <w:b/>
          <w:sz w:val="24"/>
          <w:szCs w:val="24"/>
        </w:rPr>
        <w:t>Δικαιώματα συνδυασμών και υποψηφίων – Αντικατάσταση άρθρου 22 του ν. 3852/2010</w:t>
      </w:r>
    </w:p>
    <w:p>
      <w:pPr>
        <w:pStyle w:val="Normal"/>
        <w:spacing w:lineRule="auto" w:line="360"/>
        <w:rPr>
          <w:rFonts w:ascii="Book Antiqua" w:hAnsi="Book Antiqua"/>
          <w:sz w:val="24"/>
          <w:szCs w:val="24"/>
        </w:rPr>
      </w:pPr>
      <w:r>
        <w:rPr>
          <w:rFonts w:ascii="Book Antiqua" w:hAnsi="Book Antiqua"/>
          <w:sz w:val="24"/>
          <w:szCs w:val="24"/>
        </w:rPr>
        <w:t>Το άρθρο 22 του ν. 3852/2010 αντικαθίσταται ως εξής:</w:t>
      </w:r>
    </w:p>
    <w:p>
      <w:pPr>
        <w:pStyle w:val="311pt1"/>
        <w:rPr/>
      </w:pPr>
      <w:r>
        <w:rPr>
          <w:rStyle w:val="311ptChar"/>
        </w:rPr>
        <w:t>«</w:t>
      </w:r>
      <w:bookmarkEnd w:id="11"/>
      <w:r>
        <w:rPr/>
        <w:t>Δικαιώματα συνδυασμών και υποψηφίων</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που ο υποψήφιος δήμαρχος έχει αποβιώσει ή παραιτηθεί, χωρίς να έχει αντικατασταθεί, ο διορισμός των αντιπροσώπων και του πληρεξουσίου γίνεται με δήλωση της πλειοψηφίας των υποψηφίων δημοτικών συμβούλων του οικείου συνδυασμού που έχουν ανακηρυχθεί.</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υποβάλουν κάθε είδους παρατηρήσεις και ενστάσεις.</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2" w:name="_Toc288214501"/>
      <w:r>
        <w:rPr>
          <w:rFonts w:ascii="Book Antiqua" w:hAnsi="Book Antiqua"/>
          <w:b/>
          <w:sz w:val="24"/>
          <w:szCs w:val="24"/>
        </w:rPr>
        <w:t>Άρθρο 21</w:t>
      </w:r>
    </w:p>
    <w:p>
      <w:pPr>
        <w:pStyle w:val="Normal"/>
        <w:spacing w:lineRule="auto" w:line="360"/>
        <w:jc w:val="center"/>
        <w:rPr>
          <w:rFonts w:ascii="Book Antiqua" w:hAnsi="Book Antiqua"/>
          <w:b/>
          <w:b/>
          <w:sz w:val="24"/>
          <w:szCs w:val="24"/>
        </w:rPr>
      </w:pPr>
      <w:r>
        <w:rPr>
          <w:rFonts w:ascii="Book Antiqua" w:hAnsi="Book Antiqua"/>
          <w:b/>
          <w:sz w:val="24"/>
          <w:szCs w:val="24"/>
        </w:rPr>
        <w:t>Πρόγραμμα εκλογής – Αντικατάσταση άρθρου 23 του ν. 3852/2010</w:t>
      </w:r>
    </w:p>
    <w:p>
      <w:pPr>
        <w:pStyle w:val="Normal"/>
        <w:spacing w:lineRule="auto" w:line="360"/>
        <w:rPr>
          <w:rFonts w:ascii="Book Antiqua" w:hAnsi="Book Antiqua"/>
          <w:sz w:val="24"/>
          <w:szCs w:val="24"/>
        </w:rPr>
      </w:pPr>
      <w:r>
        <w:rPr>
          <w:rFonts w:ascii="Book Antiqua" w:hAnsi="Book Antiqua"/>
          <w:sz w:val="24"/>
          <w:szCs w:val="24"/>
        </w:rPr>
        <w:t>Το άρθρο 23 του ν. 3852/2010 αντικαθίσταται ως εξής:</w:t>
      </w:r>
    </w:p>
    <w:p>
      <w:pPr>
        <w:pStyle w:val="311pt1"/>
        <w:rPr/>
      </w:pPr>
      <w:r>
        <w:rPr>
          <w:rStyle w:val="311ptChar"/>
        </w:rPr>
        <w:t>«</w:t>
      </w:r>
      <w:bookmarkEnd w:id="12"/>
      <w:r>
        <w:rPr/>
        <w:t>Πρόγραμμα της εκλογής</w:t>
      </w:r>
    </w:p>
    <w:p>
      <w:pPr>
        <w:pStyle w:val="HTMLPreformatted"/>
        <w:numPr>
          <w:ilvl w:val="0"/>
          <w:numId w:val="50"/>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όπως έχουν ανακηρυχθεί από το οικείο δικαστήριο.</w:t>
      </w:r>
    </w:p>
    <w:p>
      <w:pPr>
        <w:pStyle w:val="HTMLPreformatted"/>
        <w:numPr>
          <w:ilvl w:val="0"/>
          <w:numId w:val="50"/>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πρόγραμμα της πρώτης εκλογής σε νέο δήμο εκδίδεται και δημοσιεύεται από τον περιφερειάρχη».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b/>
          <w:b/>
          <w:sz w:val="24"/>
          <w:szCs w:val="24"/>
        </w:rPr>
      </w:pPr>
      <w:bookmarkStart w:id="13" w:name="_Toc288214502"/>
      <w:bookmarkEnd w:id="13"/>
      <w:r>
        <w:rPr>
          <w:rFonts w:ascii="Book Antiqua" w:hAnsi="Book Antiqua"/>
          <w:b/>
          <w:sz w:val="24"/>
          <w:szCs w:val="24"/>
        </w:rPr>
        <w:t>Άρθρο 22</w:t>
      </w:r>
    </w:p>
    <w:p>
      <w:pPr>
        <w:pStyle w:val="HTMLPreformatted"/>
        <w:spacing w:lineRule="auto" w:line="360"/>
        <w:ind w:right="150" w:hanging="0"/>
        <w:jc w:val="center"/>
        <w:rPr>
          <w:rFonts w:ascii="Book Antiqua" w:hAnsi="Book Antiqua"/>
          <w:b/>
          <w:b/>
          <w:sz w:val="24"/>
          <w:szCs w:val="24"/>
        </w:rPr>
      </w:pPr>
      <w:r>
        <w:rPr>
          <w:rFonts w:ascii="Book Antiqua" w:hAnsi="Book Antiqua"/>
          <w:b/>
          <w:sz w:val="24"/>
          <w:szCs w:val="24"/>
        </w:rPr>
        <w:t xml:space="preserve">Εκτύπωση και διανομή ψηφοδελτίων </w:t>
      </w:r>
    </w:p>
    <w:p>
      <w:pPr>
        <w:pStyle w:val="HTMLPreformatted"/>
        <w:spacing w:lineRule="auto" w:line="360"/>
        <w:ind w:right="150" w:hanging="0"/>
        <w:jc w:val="both"/>
        <w:rPr>
          <w:rFonts w:ascii="Book Antiqua" w:hAnsi="Book Antiqua"/>
          <w:sz w:val="24"/>
          <w:szCs w:val="24"/>
        </w:rPr>
      </w:pPr>
      <w:r>
        <w:rPr>
          <w:rFonts w:ascii="Book Antiqua" w:hAnsi="Book Antiqua"/>
          <w:sz w:val="24"/>
          <w:szCs w:val="24"/>
        </w:rPr>
        <w:t>Στο ν. 3852/2010 προστίθεται άρθρο 24Α ως εξής:</w:t>
      </w:r>
    </w:p>
    <w:p>
      <w:pPr>
        <w:pStyle w:val="311pt1"/>
        <w:rPr/>
      </w:pPr>
      <w:bookmarkStart w:id="14" w:name="_Toc288214502"/>
      <w:bookmarkStart w:id="15" w:name="_Toc288214503"/>
      <w:bookmarkEnd w:id="14"/>
      <w:bookmarkEnd w:id="15"/>
      <w:r>
        <w:rPr/>
        <w:t>«Εκτύπωση και διανομή των ψηφοδελτίων</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 ψηφοδέλτια των συνδυασμών υποψηφίων δημοτικών συμβούλων και τα ψηφοδέλτια των συνδυασμών υποψηφίων συμβούλων κοινότητας άνω των πεντακοσίων (500)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πεντακοσίων (500)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Τα ψηφοδέλτια για τις εκλογές των κοινοτήτων έως και πεντακοσίων (500) κατοίκων, καταρτίζονται και εκτυπώνονται με ευθύνη του οικείου δημάρχου και με πιστώσεις του δήμου. </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οικείος δήμαρχος οφείλει να εφοδιάσει τις εφορευτικές επιτροπές των εκλογικών τμημάτων της περιφέρειάς του με ψηφοδέλτια κάθε συνδυασμού και με ψηφοδέλτια υποψηφίων προέδρων των κοινοτήτων κάτω των πεντακοσίων (500) κατοίκων, σε επαρκή αριθμό».</w:t>
      </w:r>
    </w:p>
    <w:p>
      <w:pPr>
        <w:pStyle w:val="311pt"/>
        <w:rPr/>
      </w:pPr>
      <w:bookmarkStart w:id="16" w:name="_Toc288214504"/>
      <w:bookmarkStart w:id="17" w:name="_Toc288214504"/>
      <w:r>
        <w:rPr/>
      </w:r>
    </w:p>
    <w:p>
      <w:pPr>
        <w:pStyle w:val="Normal"/>
        <w:spacing w:lineRule="auto" w:line="360"/>
        <w:jc w:val="center"/>
        <w:rPr>
          <w:rFonts w:ascii="Book Antiqua" w:hAnsi="Book Antiqua"/>
          <w:b/>
          <w:b/>
          <w:sz w:val="24"/>
          <w:szCs w:val="24"/>
        </w:rPr>
      </w:pPr>
      <w:r>
        <w:rPr>
          <w:rFonts w:ascii="Book Antiqua" w:hAnsi="Book Antiqua"/>
          <w:b/>
          <w:sz w:val="24"/>
          <w:szCs w:val="24"/>
        </w:rPr>
        <w:t>Άρθρο 23</w:t>
      </w:r>
    </w:p>
    <w:p>
      <w:pPr>
        <w:pStyle w:val="Normal"/>
        <w:spacing w:lineRule="auto" w:line="360"/>
        <w:jc w:val="center"/>
        <w:rPr>
          <w:rFonts w:ascii="Book Antiqua" w:hAnsi="Book Antiqua"/>
          <w:b/>
          <w:b/>
          <w:sz w:val="24"/>
          <w:szCs w:val="24"/>
        </w:rPr>
      </w:pPr>
      <w:r>
        <w:rPr>
          <w:rFonts w:ascii="Book Antiqua" w:hAnsi="Book Antiqua"/>
          <w:b/>
          <w:sz w:val="24"/>
          <w:szCs w:val="24"/>
        </w:rPr>
        <w:t>Περιεχόμενο ψηφοδελτίων – Αντικατάσταση άρθρου 26 του ν. 3852/2010</w:t>
      </w:r>
    </w:p>
    <w:p>
      <w:pPr>
        <w:pStyle w:val="Normal"/>
        <w:spacing w:lineRule="auto" w:line="360"/>
        <w:rPr>
          <w:rFonts w:ascii="Book Antiqua" w:hAnsi="Book Antiqua"/>
          <w:sz w:val="24"/>
          <w:szCs w:val="24"/>
        </w:rPr>
      </w:pPr>
      <w:r>
        <w:rPr>
          <w:rFonts w:ascii="Book Antiqua" w:hAnsi="Book Antiqua"/>
          <w:sz w:val="24"/>
          <w:szCs w:val="24"/>
        </w:rPr>
        <w:t>Το άρθρο 26 του ν. 3852/2010 αντικαθίσταται ως εξής:</w:t>
      </w:r>
    </w:p>
    <w:p>
      <w:pPr>
        <w:pStyle w:val="311pt"/>
        <w:rPr/>
      </w:pPr>
      <w:bookmarkStart w:id="18" w:name="_Toc288214504"/>
      <w:r>
        <w:rPr/>
        <w:t>«Περιεχόμενο των ψηφοδελτίων για  τις δημοτικές εκλογές</w:t>
      </w:r>
      <w:bookmarkEnd w:id="18"/>
      <w:r>
        <w:rPr/>
        <w:t xml:space="preserve"> και τις εκλογές των κοινοτήτων</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Στο επάνω μέρος του ψηφοδελτίου σημειώνονται το όνομα και το τυχόν έμβλημα του συνδυασμού, όπως αναγράφονται στην απόφαση ανακήρυξης.</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τις δημοτικές εκλογές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ββ. το επώνυμο, το κύριο όνομα και το πατρώνυμο των υποψηφίων δημοτικών συμβούλων, με αλφαβητική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ββ. το επώνυμο, το κύριο όνομα και το πατρώνυμο των υποψηφίων δημοτικών συμβούλων της αντίστοιχης εκλογικής περιφέρειας, με αλφαβητική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γγ.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τις εκλογές των κοινοτήτων άνω των πεντακοσίων (500) κατοίκων, στο ψηφοδέλτιο, μετά το όνομα και το τυχόν έμβλημα του συνδυασμού, αναφέρεται η ένδειξη «Συνδυασμός υποψηφίων συμβούλων για την Κοινότητα …………….. του Δήμου …………………», όπου τίθεται το όνομα της οικείας κοινότητας και του οικείου δήμου και ακολουθούν το επώνυμο, το κύριο όνομα και το πατρώνυμο των υποψηφίων συμβούλων με αλφαβητική σειρά.</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κάθε κοινότητας έως και πεντακοσίων 500 κατοίκων φέρει τον τίτλο «Υποψήφιοι Πρόεδροι της Κοινότητας …………… του Δήμου ……………..», όπου τίθεται το όνομα της οικείας κοινότητας και του οικείου δήμου και ακολουθούν με αλφαβητική σειρά τα ονόματα των υποψηφίων προέδρων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 προέδρους.</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δημοτικών αρχών, κατά τις διατάξεις του άρθρου 33, χρησιμοποιούνται τα ίδια ψηφοδέλτια».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9" w:name="_Toc288214506"/>
      <w:r>
        <w:rPr>
          <w:rFonts w:ascii="Book Antiqua" w:hAnsi="Book Antiqua"/>
          <w:b/>
          <w:sz w:val="24"/>
          <w:szCs w:val="24"/>
        </w:rPr>
        <w:t>Άρθρο 24</w:t>
      </w:r>
    </w:p>
    <w:p>
      <w:pPr>
        <w:pStyle w:val="Normal"/>
        <w:spacing w:lineRule="auto" w:line="360"/>
        <w:jc w:val="center"/>
        <w:rPr>
          <w:rFonts w:ascii="Book Antiqua" w:hAnsi="Book Antiqua"/>
          <w:b/>
          <w:b/>
          <w:sz w:val="24"/>
          <w:szCs w:val="24"/>
        </w:rPr>
      </w:pPr>
      <w:r>
        <w:rPr>
          <w:rFonts w:ascii="Book Antiqua" w:hAnsi="Book Antiqua"/>
          <w:b/>
          <w:sz w:val="24"/>
          <w:szCs w:val="24"/>
        </w:rPr>
        <w:t>Σταυροί προτίμησης – Αντικατάσταση άρθρου 27 του ν. 3852/2010</w:t>
      </w:r>
    </w:p>
    <w:p>
      <w:pPr>
        <w:pStyle w:val="Normal"/>
        <w:spacing w:lineRule="auto" w:line="360"/>
        <w:rPr>
          <w:rFonts w:ascii="Book Antiqua" w:hAnsi="Book Antiqua"/>
          <w:sz w:val="24"/>
          <w:szCs w:val="24"/>
        </w:rPr>
      </w:pPr>
      <w:r>
        <w:rPr>
          <w:rFonts w:ascii="Book Antiqua" w:hAnsi="Book Antiqua"/>
          <w:sz w:val="24"/>
          <w:szCs w:val="24"/>
        </w:rPr>
        <w:t>Το άρθρο 27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20" w:name="_Toc288214506"/>
      <w:bookmarkEnd w:id="20"/>
      <w:r>
        <w:rPr/>
        <w:t>«Σταυροί προτίμησης για την εκλογή δημοτικών αρχών</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εκλογέας εκφράζει την προτίμηση του σε υποψήφιο συνδυασμού, σημειώνοντας στο ψηφοδέλτιο σταυρό παραπλεύρως του ονόματός του.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δημοτικών συμβούλων σε δήμους που αποτελούν ενιαία εκλογική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διεδρικές και τριεδρικές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συμβουλίων κοινότητας άνω των πεντακοσίων (500) κατοίκων, ο εκλογέας μπορεί να εκφράσει την προτίμηση του υπέρ έως ενός (1) υποψηφίου συμβούλου κοινότητας στις κοινότητες που εκλέγουν 3μελή ή 5μελή Συμβούλια και έως δύο (2) υποψηφίων συμβούλων κοινότητας στις Κοινότητες που εκλέγουν 11μελή ή 15μελή Συμβούλια.</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προέδρων κοινότητας έως πεντακοσίων (500) κατοίκων, ο εκλογέας μπορεί να εκφράσει την προτίμησή του υπέρ ενός (1) υποψήφιου προέδρου κοινότητας.</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Ψηφοδέλτιο που φέρει περισσότερους από τους επιτρεπόμενους σταυρούς προτίμησης, είναι έγκυρο, χωρίς να λαμβάνεται υπόψη κανένας σταυρός προτίμησης. Εξαιρούνται τα ψηφοδέλτια υποψηφίων προέδρων κοινότητας, όπου, ψηφοδέλτιο το οποίο δεν φέρει κανέναν σταυρό ή φέρει περισσότερους του ενός (1) σταυρούς, θεωρείται άκυρο.</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Ο σταυρός προτίμησης σημειώνεται με στυλογράφο μαύρης ή κυανής απόχρωσης. </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τον υποψήφιο δήμαρχο, δεν απαιτείται σταυρός προτίμησης και αν σημειωθεί δεν συνεπάγεται ακυρότητα του ψηφοδελτίου.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δημοτικών αρχών, κατά τις διατάξεις του άρθρου 33, δεν απαιτείται σταυρός προτίμησης και αν σημειωθεί δεν συνεπάγεται ακυρότητα του ψηφοδελτίου».</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1" w:name="_Toc288214508"/>
      <w:r>
        <w:rPr>
          <w:rFonts w:ascii="Book Antiqua" w:hAnsi="Book Antiqua"/>
          <w:b/>
          <w:sz w:val="24"/>
          <w:szCs w:val="24"/>
        </w:rPr>
        <w:t>Άρθρο 25</w:t>
      </w:r>
    </w:p>
    <w:p>
      <w:pPr>
        <w:pStyle w:val="Normal"/>
        <w:spacing w:lineRule="auto" w:line="360"/>
        <w:jc w:val="center"/>
        <w:rPr>
          <w:rFonts w:ascii="Book Antiqua" w:hAnsi="Book Antiqua"/>
          <w:b/>
          <w:b/>
          <w:sz w:val="24"/>
          <w:szCs w:val="24"/>
        </w:rPr>
      </w:pPr>
      <w:r>
        <w:rPr>
          <w:rFonts w:ascii="Book Antiqua" w:hAnsi="Book Antiqua"/>
          <w:b/>
          <w:sz w:val="24"/>
          <w:szCs w:val="24"/>
        </w:rPr>
        <w:t>Άκυρα ψηφοδέλτια – Αντικατάσταση άρθρου 28 του ν. 3852/2010</w:t>
      </w:r>
    </w:p>
    <w:p>
      <w:pPr>
        <w:pStyle w:val="Normal"/>
        <w:spacing w:lineRule="auto" w:line="360"/>
        <w:rPr>
          <w:rFonts w:ascii="Book Antiqua" w:hAnsi="Book Antiqua"/>
          <w:sz w:val="24"/>
          <w:szCs w:val="24"/>
        </w:rPr>
      </w:pPr>
      <w:r>
        <w:rPr>
          <w:rFonts w:ascii="Book Antiqua" w:hAnsi="Book Antiqua"/>
          <w:sz w:val="24"/>
          <w:szCs w:val="24"/>
        </w:rPr>
        <w:t>Το άρθρο 28 του ν. 3852/2010 αντικαθίσταται ως εξής:</w:t>
      </w:r>
    </w:p>
    <w:p>
      <w:pPr>
        <w:pStyle w:val="311pt"/>
        <w:rPr/>
      </w:pPr>
      <w:bookmarkStart w:id="22" w:name="_Toc288214508"/>
      <w:bookmarkEnd w:id="22"/>
      <w:r>
        <w:rPr/>
        <w:t>«Άκυρα ψηφοδέλτια</w:t>
      </w:r>
    </w:p>
    <w:p>
      <w:pPr>
        <w:pStyle w:val="HTMLPreformatted"/>
        <w:numPr>
          <w:ilvl w:val="0"/>
          <w:numId w:val="54"/>
        </w:numPr>
        <w:spacing w:lineRule="auto" w:line="360"/>
        <w:ind w:left="720" w:right="150" w:hanging="360"/>
        <w:jc w:val="both"/>
        <w:rPr>
          <w:rFonts w:ascii="Book Antiqua" w:hAnsi="Book Antiqua" w:cs="Arial"/>
          <w:sz w:val="24"/>
          <w:szCs w:val="24"/>
        </w:rPr>
      </w:pPr>
      <w:r>
        <w:rPr>
          <w:rFonts w:cs="Arial" w:ascii="Book Antiqua" w:hAnsi="Book Antiqua"/>
          <w:sz w:val="24"/>
          <w:szCs w:val="24"/>
          <w:lang w:val="en-US"/>
        </w:rPr>
        <w:t>T</w:t>
      </w:r>
      <w:r>
        <w:rPr>
          <w:rFonts w:cs="Arial" w:ascii="Book Antiqua" w:hAnsi="Book Antiqua"/>
          <w:sz w:val="24"/>
          <w:szCs w:val="24"/>
        </w:rPr>
        <w:t>ο ψηφοδέλτιο είναι άκυρο όταν: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έχει σημειωθεί σταυρός προτίμησης με χρώμα διαφορετικό από τα οριζόμενα στην παρ. 6 του άρθρου 27.</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έχει σχήμα, διαστάσεις ή μορφή που διαφέρουν, κατά τρόπο εμφανή, από αυτά που ορίζει η σχετική υπουργική απόφαση.</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γ) έχει τυπωθεί σε χαρτί ή με μελάνι που το χρώμα του διαφέρει, κατά τρόπο εμφανή, από αυτό που ορίζεται στο </w:t>
      </w:r>
      <w:r>
        <w:rPr>
          <w:rFonts w:cs="Arial" w:ascii="Book Antiqua" w:hAnsi="Book Antiqua"/>
          <w:b/>
          <w:color w:val="FF0000"/>
          <w:sz w:val="24"/>
          <w:szCs w:val="24"/>
        </w:rPr>
        <w:t xml:space="preserve"> </w:t>
      </w:r>
      <w:r>
        <w:rPr>
          <w:rFonts w:cs="Arial" w:ascii="Book Antiqua" w:hAnsi="Book Antiqua"/>
          <w:sz w:val="24"/>
          <w:szCs w:val="24"/>
        </w:rPr>
        <w:t>άρθρο 24.</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pPr>
        <w:pStyle w:val="HTMLPreformatted"/>
        <w:numPr>
          <w:ilvl w:val="0"/>
          <w:numId w:val="54"/>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είναι επίσης αυτοδικαίως άκυρο και στις ακόλουθες περιπτώσεις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Αν βρεθεί στο φάκελο με ένα ή περισσότερα άλλα έγκυρα ή άκυρα ψηφοδέλτια, του ίδιου ή διαφορετικού συνδυασμού ή με λευκά.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Αν βρεθεί μέσα σε φάκελο, που δεν είναι σύμφωνος με τις ρυθμίσεις άρθρου 46 του Κ.Δ.Κ.</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3" w:name="_Toc288214514"/>
      <w:r>
        <w:rPr>
          <w:rFonts w:ascii="Book Antiqua" w:hAnsi="Book Antiqua"/>
          <w:b/>
          <w:sz w:val="24"/>
          <w:szCs w:val="24"/>
        </w:rPr>
        <w:t>Άρθρο  2</w:t>
      </w:r>
      <w:bookmarkStart w:id="24" w:name="_Toc288214516"/>
      <w:bookmarkEnd w:id="23"/>
      <w:r>
        <w:rPr>
          <w:rFonts w:ascii="Book Antiqua" w:hAnsi="Book Antiqua"/>
          <w:b/>
          <w:sz w:val="24"/>
          <w:szCs w:val="24"/>
        </w:rPr>
        <w:t>6</w:t>
      </w:r>
    </w:p>
    <w:p>
      <w:pPr>
        <w:pStyle w:val="Normal"/>
        <w:spacing w:lineRule="auto" w:line="360"/>
        <w:jc w:val="center"/>
        <w:rPr>
          <w:rFonts w:ascii="Book Antiqua" w:hAnsi="Book Antiqua"/>
          <w:b/>
          <w:b/>
          <w:sz w:val="24"/>
          <w:szCs w:val="24"/>
        </w:rPr>
      </w:pPr>
      <w:r>
        <w:rPr>
          <w:rFonts w:ascii="Book Antiqua" w:hAnsi="Book Antiqua"/>
          <w:b/>
          <w:sz w:val="24"/>
          <w:szCs w:val="24"/>
        </w:rPr>
        <w:t>Διατάξεις εκλογικής νομοθεσίας – Αντικατάσταση άρθρου 29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29 του ν. 3852/2010 αντικαθίσταται ως εξής:</w:t>
      </w:r>
    </w:p>
    <w:p>
      <w:pPr>
        <w:pStyle w:val="311pt2"/>
        <w:rPr>
          <w:rStyle w:val="311pt1Char"/>
        </w:rPr>
      </w:pPr>
      <w:r>
        <w:rPr/>
      </w:r>
    </w:p>
    <w:p>
      <w:pPr>
        <w:pStyle w:val="Normal"/>
        <w:spacing w:lineRule="auto" w:line="360"/>
        <w:rPr>
          <w:rFonts w:ascii="Book Antiqua" w:hAnsi="Book Antiqua"/>
          <w:sz w:val="24"/>
          <w:szCs w:val="24"/>
        </w:rPr>
      </w:pPr>
      <w:bookmarkEnd w:id="24"/>
      <w:r>
        <w:rPr>
          <w:rFonts w:ascii="Book Antiqua" w:hAnsi="Book Antiqua"/>
          <w:sz w:val="24"/>
          <w:szCs w:val="24"/>
        </w:rPr>
        <w:t>«Εφαρμογή των διατάξεων της νομοθεσίας για την εκλογή βουλευτών</w:t>
      </w:r>
    </w:p>
    <w:p>
      <w:pPr>
        <w:pStyle w:val="HTMLPreformatted"/>
        <w:numPr>
          <w:ilvl w:val="0"/>
          <w:numId w:val="56"/>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pPr>
        <w:pStyle w:val="HTMLPreformatted"/>
        <w:numPr>
          <w:ilvl w:val="0"/>
          <w:numId w:val="56"/>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Κατά την ψηφοφορία χρησιμοποιούνται διαφορετικές κάλπες για τις δημοτικές εκλογές και για την εκλογή συμβούλων ή προέδρου κοινότητας, που φέρουν κατάλληλο διακριτικό γνώρισμα. Το διακριτικό αυτό γνώρισμα και κάθε άλλη λεπτομέρεια που αφορά το μέγεθος, το σχήμα κ.λπ. των καλπών, καθώς και οι αναγκαίες λεπτομέρειες, καθορίζονται με αποφάσεις του Υπουργού Εσωτερικών.</w:t>
      </w:r>
    </w:p>
    <w:p>
      <w:pPr>
        <w:pStyle w:val="HTMLPreformatted"/>
        <w:numPr>
          <w:ilvl w:val="0"/>
          <w:numId w:val="56"/>
        </w:numPr>
        <w:spacing w:lineRule="auto" w:line="360"/>
        <w:ind w:left="720" w:right="150" w:hanging="360"/>
        <w:jc w:val="both"/>
        <w:rPr>
          <w:rFonts w:ascii="Book Antiqua" w:hAnsi="Book Antiqua" w:cs="Arial"/>
          <w:sz w:val="24"/>
          <w:szCs w:val="24"/>
        </w:rPr>
      </w:pPr>
      <w:bookmarkStart w:id="25" w:name="_Toc288214517"/>
      <w:bookmarkEnd w:id="25"/>
      <w:r>
        <w:rPr>
          <w:rFonts w:cs="Arial" w:ascii="Book Antiqua" w:hAnsi="Book Antiqua"/>
          <w:sz w:val="24"/>
          <w:szCs w:val="24"/>
        </w:rPr>
        <w:t>Όπου στις διατάξεις της νομοθεσίας για την εκλογή βουλευτών αναφέρεται ο νομάρχης, προκειμένου για τις δημοτικές εκλογές νοείται ο περιφερειάρχης.</w:t>
      </w:r>
    </w:p>
    <w:p>
      <w:pPr>
        <w:pStyle w:val="311pt"/>
        <w:rPr/>
      </w:pPr>
      <w:bookmarkStart w:id="26" w:name="_Toc288214520"/>
      <w:bookmarkStart w:id="27" w:name="_Toc288214520"/>
      <w:bookmarkEnd w:id="27"/>
      <w:r>
        <w:rPr/>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Άρθρο 27</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pPr>
        <w:pStyle w:val="Normal"/>
        <w:spacing w:lineRule="auto" w:line="360"/>
        <w:rPr>
          <w:rFonts w:ascii="Book Antiqua" w:hAnsi="Book Antiqua"/>
          <w:sz w:val="24"/>
          <w:szCs w:val="24"/>
        </w:rPr>
      </w:pPr>
      <w:r>
        <w:rPr>
          <w:rFonts w:ascii="Book Antiqua" w:hAnsi="Book Antiqua"/>
          <w:sz w:val="24"/>
          <w:szCs w:val="24"/>
        </w:rPr>
        <w:t xml:space="preserve">Το άρθρο 32 του ν. 3852/2010 αντικαθίσταται ως εξής: </w:t>
      </w:r>
    </w:p>
    <w:p>
      <w:pPr>
        <w:pStyle w:val="Normal"/>
        <w:spacing w:lineRule="auto" w:line="360"/>
        <w:rPr>
          <w:rFonts w:ascii="Book Antiqua" w:hAnsi="Book Antiqua"/>
          <w:sz w:val="24"/>
          <w:szCs w:val="24"/>
        </w:rPr>
      </w:pPr>
      <w:r>
        <w:rPr>
          <w:rFonts w:ascii="Book Antiqua" w:hAnsi="Book Antiqua"/>
          <w:sz w:val="24"/>
          <w:szCs w:val="24"/>
        </w:rPr>
      </w:r>
    </w:p>
    <w:p>
      <w:pPr>
        <w:pStyle w:val="Normal"/>
        <w:keepNext/>
        <w:numPr>
          <w:ilvl w:val="0"/>
          <w:numId w:val="0"/>
        </w:numPr>
        <w:spacing w:lineRule="auto" w:line="360" w:before="240" w:after="60"/>
        <w:ind w:right="26" w:hanging="0"/>
        <w:jc w:val="center"/>
        <w:outlineLvl w:val="2"/>
        <w:rPr>
          <w:rFonts w:ascii="Book Antiqua" w:hAnsi="Book Antiqua"/>
          <w:sz w:val="24"/>
          <w:szCs w:val="24"/>
          <w:lang w:eastAsia="el-GR"/>
        </w:rPr>
      </w:pPr>
      <w:r>
        <w:rPr>
          <w:rFonts w:ascii="Book Antiqua" w:hAnsi="Book Antiqua"/>
          <w:sz w:val="24"/>
          <w:szCs w:val="24"/>
          <w:lang w:eastAsia="el-GR"/>
        </w:rPr>
        <w:t>«Εκλογικό σύστημα - Κατανομή των εδρών του δημοτικού συμβουλίου</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Η αναλογική κατανομή των εδρών γίνεται ως εξής: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οι συνδυασμοί αυτοί ή μερικοί από αυτούς έχουν ίσο αριθμό αχρησιμοποίητων υπολοίπων, διεξάγεται κλήρωση.</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Σε περίπτωση ίσου αριθμού έγκυρων ψηφοδελτίων δύο ή και περισσότερων συνδυασμών, διενεργείται μεταξύ τους κλήρωση από το αρμόδιο δικαστήριο.</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Σε περίπτωση που έχει ανακηρυχθεί ένας μόνο συνδυασμός υποψηφίων, ο δήμαρχος εκλέγεται από το μοναδικό συνδυασμό. Οι πρώτοι κατά σειρά σε σταυρούς προτίμησης, και μέχρι να συμπληρωθεί ο αριθμός των εδρών του δημοτικού συμβουλίου, εκλέγονται τακτικοί και οι υπόλοιποι αναπληρωματικοί σύμβουλοι».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8" w:name="_Toc288214521"/>
      <w:r>
        <w:rPr>
          <w:rFonts w:ascii="Book Antiqua" w:hAnsi="Book Antiqua"/>
          <w:b/>
          <w:sz w:val="24"/>
          <w:szCs w:val="24"/>
        </w:rPr>
        <w:t>Άρθρο  28</w:t>
      </w:r>
    </w:p>
    <w:p>
      <w:pPr>
        <w:pStyle w:val="Normal"/>
        <w:spacing w:lineRule="auto" w:line="360"/>
        <w:jc w:val="center"/>
        <w:rPr>
          <w:rFonts w:ascii="Book Antiqua" w:hAnsi="Book Antiqua"/>
          <w:b/>
          <w:b/>
          <w:sz w:val="24"/>
          <w:szCs w:val="24"/>
        </w:rPr>
      </w:pPr>
      <w:r>
        <w:rPr>
          <w:rFonts w:ascii="Book Antiqua" w:hAnsi="Book Antiqua"/>
          <w:b/>
          <w:sz w:val="24"/>
          <w:szCs w:val="24"/>
        </w:rPr>
        <w:t>Επανάληψη ψηφοφορίας – Αντικατάσταση άρθρου 33 του ν. 3852/2010</w:t>
      </w:r>
    </w:p>
    <w:p>
      <w:pPr>
        <w:pStyle w:val="Normal"/>
        <w:spacing w:lineRule="auto" w:line="360"/>
        <w:rPr>
          <w:rFonts w:ascii="Book Antiqua" w:hAnsi="Book Antiqua"/>
          <w:sz w:val="24"/>
          <w:szCs w:val="24"/>
        </w:rPr>
      </w:pPr>
      <w:r>
        <w:rPr>
          <w:rFonts w:ascii="Book Antiqua" w:hAnsi="Book Antiqua"/>
          <w:sz w:val="24"/>
          <w:szCs w:val="24"/>
        </w:rPr>
        <w:t>Το άρθρο 33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29" w:name="_Toc288214521"/>
      <w:bookmarkEnd w:id="29"/>
      <w:r>
        <w:rPr/>
        <w:t>«Επανάληψη της ψηφοφορίας για την εκλογή δημοτικών αρχών</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ψηφοδελτίων συνδυασμού και οι υποψήφιοι δήμαρχοι των συνδυασμών που ισοψήφησαν στη δεύτερη θέση.</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Στις περιπτώσεις των παραγράφων 2 και 3, επιτυχών θεωρείται ο υποψήφιος δήμαρχος και ο συνδυασμός του που έλαβαν στην επαναληπτική ψηφοφορία τη σχετική πλειοψηφία.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0" w:name="_Toc288214522"/>
      <w:r>
        <w:rPr>
          <w:rFonts w:ascii="Book Antiqua" w:hAnsi="Book Antiqua"/>
          <w:b/>
          <w:sz w:val="24"/>
          <w:szCs w:val="24"/>
        </w:rPr>
        <w:t>Άρθρο 29</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δημοτικού συμβουλίου ανά εκλογική περιφέρεια – Αντικατάσταση άρθρου 34 του ν. 3852/2010</w:t>
      </w:r>
    </w:p>
    <w:p>
      <w:pPr>
        <w:pStyle w:val="Normal"/>
        <w:spacing w:lineRule="auto" w:line="360"/>
        <w:rPr>
          <w:rFonts w:ascii="Book Antiqua" w:hAnsi="Book Antiqua"/>
          <w:sz w:val="24"/>
          <w:szCs w:val="24"/>
        </w:rPr>
      </w:pPr>
      <w:r>
        <w:rPr>
          <w:rFonts w:ascii="Book Antiqua" w:hAnsi="Book Antiqua"/>
          <w:sz w:val="24"/>
          <w:szCs w:val="24"/>
        </w:rPr>
        <w:t>Το άρθρο 34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1" w:name="_Toc288214522"/>
      <w:bookmarkEnd w:id="31"/>
      <w:r>
        <w:rPr/>
        <w:t>«Κατανομή των εδρών του δημοτικού συμβουλίου ανά εκλογική περιφέρεια</w:t>
      </w:r>
    </w:p>
    <w:p>
      <w:pPr>
        <w:pStyle w:val="311pt"/>
        <w:rPr/>
      </w:pPr>
      <w:r>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32.</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32, εφαρμόζεται η προηγούμενη παράγραφος.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Οι έδρες που κατανέμονται σε κάθε στάδιο, σύμφωνα με τις προηγούμενες παραγράφους,</w:t>
      </w:r>
      <w:r>
        <w:rPr>
          <w:rFonts w:cs="Arial" w:ascii="Book Antiqua" w:hAnsi="Book Antiqua"/>
          <w:color w:val="FF0000"/>
          <w:sz w:val="24"/>
          <w:szCs w:val="24"/>
        </w:rPr>
        <w:t xml:space="preserve"> </w:t>
      </w:r>
      <w:r>
        <w:rPr>
          <w:rFonts w:cs="Arial" w:ascii="Book Antiqua" w:hAnsi="Book Antiqua"/>
          <w:sz w:val="24"/>
          <w:szCs w:val="24"/>
        </w:rPr>
        <w:t>αφαιρούνται από τις διαθέσιμες της εκλογικής περιφέρειας».</w:t>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30</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35 του ν. 3852/2010</w:t>
      </w:r>
    </w:p>
    <w:p>
      <w:pPr>
        <w:pStyle w:val="Normal"/>
        <w:spacing w:lineRule="auto" w:line="360"/>
        <w:rPr>
          <w:rFonts w:ascii="Book Antiqua" w:hAnsi="Book Antiqua"/>
          <w:sz w:val="24"/>
          <w:szCs w:val="24"/>
        </w:rPr>
      </w:pPr>
      <w:bookmarkStart w:id="32" w:name="_Toc288214525"/>
      <w:bookmarkEnd w:id="32"/>
      <w:r>
        <w:rPr>
          <w:rFonts w:ascii="Book Antiqua" w:hAnsi="Book Antiqua"/>
          <w:sz w:val="24"/>
          <w:szCs w:val="24"/>
        </w:rPr>
        <w:t>Η παρ. 3 του άρθρου 35 του ν. 3852/2010 αντικαθίσταται ως εξής:</w:t>
      </w:r>
    </w:p>
    <w:p>
      <w:pPr>
        <w:pStyle w:val="HTMLPreformatted"/>
        <w:numPr>
          <w:ilvl w:val="0"/>
          <w:numId w:val="108"/>
        </w:numPr>
        <w:spacing w:lineRule="auto" w:line="360"/>
        <w:ind w:left="720" w:right="150" w:hanging="360"/>
        <w:jc w:val="both"/>
        <w:rPr>
          <w:rFonts w:ascii="Book Antiqua" w:hAnsi="Book Antiqua" w:cs="Arial"/>
          <w:sz w:val="24"/>
          <w:szCs w:val="24"/>
        </w:rPr>
      </w:pPr>
      <w:r>
        <w:rPr>
          <w:rFonts w:cs="Arial" w:ascii="Book Antiqua" w:hAnsi="Book Antiqua"/>
          <w:sz w:val="24"/>
          <w:szCs w:val="24"/>
        </w:rPr>
        <w:t>«3. Αν εκείνος που έχει επιλεγεί ως υποψήφιος δήμαρχος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δήμαρχος, το δεύτερο εδάφιο της παρ. 1 του άρθρου 38».</w:t>
      </w:r>
    </w:p>
    <w:p>
      <w:pPr>
        <w:pStyle w:val="HTMLPreformatted"/>
        <w:numPr>
          <w:ilvl w:val="0"/>
          <w:numId w:val="108"/>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παρ. 6 του άρθρου 35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3" w:name="_Toc288214523"/>
      <w:r>
        <w:rPr>
          <w:rFonts w:ascii="Book Antiqua" w:hAnsi="Book Antiqua"/>
          <w:b/>
          <w:sz w:val="24"/>
          <w:szCs w:val="24"/>
        </w:rPr>
        <w:t>Άρθρο 31</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36 του ν. 3852/2010</w:t>
      </w:r>
    </w:p>
    <w:p>
      <w:pPr>
        <w:pStyle w:val="Normal"/>
        <w:spacing w:lineRule="auto" w:line="360"/>
        <w:rPr>
          <w:rFonts w:ascii="Book Antiqua" w:hAnsi="Book Antiqua"/>
          <w:sz w:val="24"/>
          <w:szCs w:val="24"/>
        </w:rPr>
      </w:pPr>
      <w:r>
        <w:rPr>
          <w:rFonts w:ascii="Book Antiqua" w:hAnsi="Book Antiqua"/>
          <w:sz w:val="24"/>
          <w:szCs w:val="24"/>
        </w:rPr>
        <w:t>Το άρθρο 36 του ν. 3852/2010 καταργείται.</w:t>
      </w:r>
    </w:p>
    <w:p>
      <w:pPr>
        <w:pStyle w:val="311pt"/>
        <w:rPr/>
      </w:pPr>
      <w:r>
        <w:rPr/>
      </w:r>
    </w:p>
    <w:p>
      <w:pPr>
        <w:pStyle w:val="Normal"/>
        <w:spacing w:lineRule="auto" w:line="360"/>
        <w:jc w:val="center"/>
        <w:rPr>
          <w:rFonts w:ascii="Book Antiqua" w:hAnsi="Book Antiqua"/>
          <w:b/>
          <w:b/>
          <w:sz w:val="24"/>
          <w:szCs w:val="24"/>
        </w:rPr>
      </w:pPr>
      <w:r>
        <w:rPr>
          <w:rFonts w:ascii="Book Antiqua" w:hAnsi="Book Antiqua"/>
          <w:sz w:val="24"/>
          <w:szCs w:val="24"/>
        </w:rPr>
        <w:br/>
      </w:r>
      <w:r>
        <w:rPr>
          <w:rFonts w:ascii="Book Antiqua" w:hAnsi="Book Antiqua"/>
          <w:b/>
          <w:sz w:val="24"/>
          <w:szCs w:val="24"/>
        </w:rPr>
        <w:t>Άρθρο 32</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συμβούλων κοινότητας – Αντικατάσταση άρθρου 37 του ν. 3852/2010</w:t>
      </w:r>
    </w:p>
    <w:p>
      <w:pPr>
        <w:pStyle w:val="Normal"/>
        <w:spacing w:lineRule="auto" w:line="360"/>
        <w:rPr>
          <w:rFonts w:ascii="Book Antiqua" w:hAnsi="Book Antiqua"/>
          <w:sz w:val="24"/>
          <w:szCs w:val="24"/>
        </w:rPr>
      </w:pPr>
      <w:r>
        <w:rPr>
          <w:rFonts w:ascii="Book Antiqua" w:hAnsi="Book Antiqua"/>
          <w:sz w:val="24"/>
          <w:szCs w:val="24"/>
        </w:rPr>
        <w:t>Το άρθρο 37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4" w:name="_Toc288214523"/>
      <w:bookmarkEnd w:id="34"/>
      <w:r>
        <w:rPr/>
        <w:t>«Κατανομή εδρών συμβούλων της κοινότητας</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Στις εκλογές των συμβουλίων κοινότητας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αυξημένο κατά μία μονάδα. Το πηλίκο που προκύπτει, παραλειπομένου του κλάσματος, αποτελεί το εκλογικό μέτρο.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Αν οι συνδυασμοί αυτοί ή μερικοί από αυτούς έχουν ίσο αριθμό αχρησιμοποίητων υπολοίπων, γίνεται κλήρωση.</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υποψήφιοι του ίδιου συνδυασμού ισοψηφήσουν, το πρωτοδικείο 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33</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 xml:space="preserve">Εκλογή προέδρου κοινότητας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Στο ν. 3852/2010 προστίθεται άρθρο 37Α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«Εκλογή προέδρου κοινότητας</w:t>
      </w:r>
    </w:p>
    <w:p>
      <w:pPr>
        <w:pStyle w:val="Normal"/>
        <w:spacing w:lineRule="auto" w:line="360"/>
        <w:jc w:val="both"/>
        <w:rPr>
          <w:rFonts w:ascii="Book Antiqua" w:hAnsi="Book Antiqua"/>
          <w:sz w:val="24"/>
          <w:szCs w:val="24"/>
        </w:rPr>
      </w:pPr>
      <w:bookmarkStart w:id="35" w:name="_Toc288214528"/>
      <w:bookmarkEnd w:id="35"/>
      <w:r>
        <w:rPr>
          <w:rFonts w:ascii="Book Antiqua" w:hAnsi="Book Antiqua"/>
          <w:sz w:val="24"/>
          <w:szCs w:val="24"/>
        </w:rPr>
        <w:t>Στις κοινότητες έως και πεντακοσίων (500) κατοίκων, όπου η εκλογή του προέδρου διενεργείται με ενιαίο ψηφοδέλτιο κατά το άρθρο 18Β, πρόεδρος της κοινότητας εκλέγεται εκείνος που θα συγκεντρώσει τη σχετική πλειοψηφία των σταυρών. Οι υπόλοιποι, κατά τη σειρά εκλογής τους, λογίζονται ως αναπληρωματικοί. Σε περίπτωση ισοψηφίας, το πρωτοδικείο διενεργεί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34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38 του ν. 3852/2010</w:t>
      </w:r>
    </w:p>
    <w:p>
      <w:pPr>
        <w:pStyle w:val="Normal"/>
        <w:spacing w:lineRule="auto" w:line="360"/>
        <w:rPr>
          <w:rFonts w:ascii="Book Antiqua" w:hAnsi="Book Antiqua"/>
          <w:sz w:val="24"/>
          <w:szCs w:val="24"/>
        </w:rPr>
      </w:pPr>
      <w:bookmarkStart w:id="36" w:name="_Toc288214526"/>
      <w:bookmarkEnd w:id="36"/>
      <w:r>
        <w:rPr>
          <w:rFonts w:ascii="Book Antiqua" w:hAnsi="Book Antiqua"/>
          <w:sz w:val="24"/>
          <w:szCs w:val="24"/>
        </w:rPr>
        <w:t>Η παρ. 1 του άρθρου 38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7" w:name="_Toc288214527"/>
      <w:r>
        <w:rPr>
          <w:rFonts w:ascii="Book Antiqua" w:hAnsi="Book Antiqua"/>
          <w:b/>
          <w:sz w:val="24"/>
          <w:szCs w:val="24"/>
        </w:rPr>
        <w:t>Άρθρο  35</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39 του ν. 852/2010</w:t>
      </w:r>
    </w:p>
    <w:p>
      <w:pPr>
        <w:pStyle w:val="Normal"/>
        <w:spacing w:lineRule="auto" w:line="360"/>
        <w:rPr>
          <w:rFonts w:ascii="Book Antiqua" w:hAnsi="Book Antiqua"/>
          <w:sz w:val="24"/>
          <w:szCs w:val="24"/>
        </w:rPr>
      </w:pPr>
      <w:r>
        <w:rPr>
          <w:rFonts w:ascii="Book Antiqua" w:hAnsi="Book Antiqua"/>
          <w:sz w:val="24"/>
          <w:szCs w:val="24"/>
        </w:rPr>
        <w:t>Το άρθρο 39 του ν. 3852/2010 καταργείται.</w:t>
      </w:r>
    </w:p>
    <w:p>
      <w:pPr>
        <w:pStyle w:val="311pt"/>
        <w:rPr/>
      </w:pPr>
      <w:r>
        <w:rPr/>
      </w:r>
    </w:p>
    <w:p>
      <w:pPr>
        <w:pStyle w:val="311pt"/>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36</w:t>
      </w:r>
    </w:p>
    <w:p>
      <w:pPr>
        <w:pStyle w:val="Normal"/>
        <w:spacing w:lineRule="auto" w:line="360"/>
        <w:jc w:val="center"/>
        <w:rPr>
          <w:rFonts w:ascii="Book Antiqua" w:hAnsi="Book Antiqua"/>
          <w:b/>
          <w:b/>
          <w:sz w:val="24"/>
          <w:szCs w:val="24"/>
        </w:rPr>
      </w:pPr>
      <w:r>
        <w:rPr>
          <w:rFonts w:ascii="Book Antiqua" w:hAnsi="Book Antiqua"/>
          <w:b/>
          <w:sz w:val="24"/>
          <w:szCs w:val="24"/>
        </w:rPr>
        <w:t>Τακτικοί και αναπληρωματικοί σύμβουλοι κοινότητας – Αντικατάσταση άρθρου 40 του ν. 3852/2010</w:t>
      </w:r>
    </w:p>
    <w:p>
      <w:pPr>
        <w:pStyle w:val="Normal"/>
        <w:spacing w:lineRule="auto" w:line="360"/>
        <w:rPr>
          <w:rFonts w:ascii="Book Antiqua" w:hAnsi="Book Antiqua"/>
          <w:sz w:val="24"/>
          <w:szCs w:val="24"/>
        </w:rPr>
      </w:pPr>
      <w:r>
        <w:rPr>
          <w:rFonts w:ascii="Book Antiqua" w:hAnsi="Book Antiqua"/>
          <w:sz w:val="24"/>
          <w:szCs w:val="24"/>
        </w:rPr>
        <w:t>Το άρθρο 40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8" w:name="_Toc288214527"/>
      <w:bookmarkEnd w:id="38"/>
      <w:r>
        <w:rPr/>
        <w:t>«Τακτικοί και αναπληρωματικοί σύμβουλοι κοινότητας - Ισοψηφία</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Τακτικοί σύμβουλοι του συμβουλίου της κοινότητας εκλέγονται από τους υποψηφίους καθενός από τους συνδυασμούς, κατά σειρά, αυτοί που έλαβαν τους περισσότερους σταυρούς προτίμησης.</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οι υποψήφιοι του ίδιου συνδυασμού ισοψηφήσουν, το πρωτοδικείο διενεργεί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άρθρου 41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41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Επικύρωση εκλογής – Αντικατάσταση άρθρου 44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44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«Επικύρωση της εκλογής</w:t>
      </w:r>
    </w:p>
    <w:p>
      <w:pPr>
        <w:pStyle w:val="HTMLPreformatted"/>
        <w:numPr>
          <w:ilvl w:val="0"/>
          <w:numId w:val="3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πολυμελές πρωτοδικείο μετά από τη λήξη του πενθημέρου της παραγράφου 2 του προηγούμενου άρθρου</w:t>
      </w:r>
      <w:r>
        <w:rPr>
          <w:rFonts w:cs="Arial" w:ascii="Book Antiqua" w:hAnsi="Book Antiqua"/>
          <w:color w:val="FF0000"/>
          <w:sz w:val="24"/>
          <w:szCs w:val="24"/>
        </w:rPr>
        <w:t xml:space="preserve"> </w:t>
      </w:r>
      <w:r>
        <w:rPr>
          <w:rFonts w:cs="Arial" w:ascii="Book Antiqua" w:hAnsi="Book Antiqua"/>
          <w:sz w:val="24"/>
          <w:szCs w:val="24"/>
        </w:rPr>
        <w:t>ανακηρύσσει με χωριστή πράξη:</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πεντακοσίων (500) κατοίκων με τους αναπληρωματικούς τους.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τους τακτικούς και αναπληρωματικούς συμβούλους της κάθε εκλογικής περιφέρειας κάθε συνδυασμού,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pPr>
        <w:pStyle w:val="HTMLPreformatted"/>
        <w:numPr>
          <w:ilvl w:val="0"/>
          <w:numId w:val="36"/>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πρόεδρος του πρωτοδικείου εκθέτει τις αποφάσεις στο κατάστημα του δικαστηρίου επί τρεις (3) συνεχείς ημέρες και αποστέλλει αντίγραφο τους στον περιφερειάρχη και στον 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39</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52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κοινοτήτων».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Παραίτηση αιρετών – Αντικατάσταση άρθρου 54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54 του ν. 3852/2010 αντικαθίσταται ως εξής:</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«Παραίτηση αιρετών</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των δημοτικών συμβούλων, των συμβούλων κοινοτήτων και των προέδρων των κοινοτήτων έως και πεντακοσίων (500) κατοίκων υποβάλλεται εγγράφως στον οικείο δήμαρχο. Η παραίτηση γίνεται οριστική την επομένη της κατάθεσης της σχετικής δήλωσης στο πρωτόκολλο.</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άλλη περίπτωση, η παραίτηση των αιρετών των δήμων από τις θέσεις που κατέχουν, ως εκ της ιδιότητας τους, 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41</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Αντικατάσταση – αναπλήρωση μελών – Αντικατάσταση άρθρου 55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55 του ν. 3852/2010 αντικαθίσταται ως εξής:</w:t>
      </w:r>
    </w:p>
    <w:p>
      <w:pPr>
        <w:pStyle w:val="311pt"/>
        <w:rPr/>
      </w:pPr>
      <w:r>
        <w:rPr/>
      </w:r>
    </w:p>
    <w:p>
      <w:pPr>
        <w:pStyle w:val="311pt"/>
        <w:rPr/>
      </w:pPr>
      <w:r>
        <w:rPr>
          <w:rFonts w:cs="Arial"/>
        </w:rPr>
        <w:t>«</w:t>
      </w:r>
      <w:bookmarkStart w:id="39" w:name="_Toc288214557"/>
      <w:bookmarkEnd w:id="39"/>
      <w:r>
        <w:rPr/>
        <w:t>Αντικατάσταση και αναπλήρωση μελών</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Τις έδρες των δημοτικών συμβούλων και των συμβούλων των κοινοτήτων άνω των πεντακοσίων (500) κατοίκων που για οποιονδήποτε λόγο μένουν κενές, καταλαμβάνουν οι αναπληρωματικοί του ίδιου συνδυασμού. Οι κενές έδρες του δημοτικού συμβουλίου καταλαμβάνονται από τους αναπληρωματικούς της ίδιας εκλογικής περιφέρειας.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Τη θέση άμεσα εκλεγόμενου προέδρου κοινότητας έως και πεντακοσίων (500), που για οποιονδήποτε λόγο μένει κενή, καταλαμβάνει, ο κατά σειρά εκλογής αναπληρωματικός του.</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εμφανισθούν στην προθεσμία αυτή, αποβάλλουν αυτοδικαίως την ιδιότητα του αναπληρωματικού.</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εξαντληθεί ο αριθμός των αναπληρωματικών: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δημοτικών συμβούλων του συνδυασμού αυτού, στην ίδια εκλογική περιφέρεια, ή</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συμβούλων των κοινοτήτων του συνδυασμού αυτού στην ίδια κοινότητα,</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καλούνται, αντίστοιχα να καταλάβουν τις θέσεις που έμειναν κενές, για οποιονδήποτε λόγο,</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ββ)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κοινοτήτων, ο δήμαρχος για το μέχρι λήξης της αργίας χρόνο καλεί τους αναπληρωματικούς τους.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προκηρύσσει, σε δύο (2) μήνες το αργότερο, την εκλογή τόσων συμβούλων όσες είναι οι κενές έδρες και ισάριθμων αναπληρωματικών.</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Στην αναπληρωματική εκλογή εφαρμόζονται αναλόγως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Στο τελευταίο όμως έτος της δημοτικής περιόδου γίνεται εκλογή, μόνον αν οι σύμβουλοι που έχουν απομείνει δεν αρκούν για την ύπαρξη απαρτίας.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r>
        <w:rPr>
          <w:rFonts w:cs="Arial" w:ascii="Book Antiqua" w:hAnsi="Book Antiqua"/>
          <w:b/>
          <w:color w:val="FF0000"/>
          <w:sz w:val="24"/>
          <w:szCs w:val="24"/>
        </w:rPr>
        <w:t xml:space="preserve"> </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42</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Εκλογή εξαιτίας διάλυσης συμβουλίων – Αντικατάσταση άρθρου 56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56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«Εκλογή εξαιτίας διάλυσης  συμβουλίων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Αν ένα δημοτικό συμβούλιο διαλυθεί σύμφωνα με την παράγραφο 2 του </w:t>
      </w:r>
      <w:r>
        <w:rPr>
          <w:rFonts w:cs="Arial" w:ascii="Book Antiqua" w:hAnsi="Book Antiqua"/>
          <w:bCs/>
          <w:sz w:val="24"/>
          <w:szCs w:val="24"/>
        </w:rPr>
        <w:t xml:space="preserve">άρθρου 237, </w:t>
      </w:r>
      <w:r>
        <w:rPr>
          <w:rFonts w:cs="Arial" w:ascii="Book Antiqua" w:hAnsi="Book Antiqua"/>
          <w:sz w:val="24"/>
          <w:szCs w:val="24"/>
        </w:rPr>
        <w:t>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έως και πεντακοσίων (500) κατοίκων.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και πεντακοσίων (500) κατοίκων.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διαδικασία της παρ.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ΤΜΗΜΑ Γ’</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43</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Τελικές – Μεταβατικές διατάξεις Κεφαλαίου Β’</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του άρθρου 3 του παρόντος. Όπου αναφέρονται εκπρόσωποι τοπικής κοινότητας νοείται ο πρόεδρος της κοινότητας.</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του Κεφαλαίου Β’ ισχύουν από την έναρξη της επόμενης αυτοδιοικητικής περιόδου.</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των άρθρων 5 έως και 38 ισχύουν και για τις εκλογές για την ανάδειξη δημοτικών αρχών της 13</w:t>
      </w:r>
      <w:r>
        <w:rPr>
          <w:rFonts w:cs="Arial" w:ascii="Book Antiqua" w:hAnsi="Book Antiqua"/>
          <w:sz w:val="24"/>
          <w:szCs w:val="24"/>
          <w:vertAlign w:val="superscript"/>
        </w:rPr>
        <w:t>ης</w:t>
      </w:r>
      <w:r>
        <w:rPr>
          <w:rFonts w:cs="Arial" w:ascii="Book Antiqua" w:hAnsi="Book Antiqua"/>
          <w:sz w:val="24"/>
          <w:szCs w:val="24"/>
        </w:rPr>
        <w:t xml:space="preserve"> και 20</w:t>
      </w:r>
      <w:r>
        <w:rPr>
          <w:rFonts w:cs="Arial" w:ascii="Book Antiqua" w:hAnsi="Book Antiqua"/>
          <w:sz w:val="24"/>
          <w:szCs w:val="24"/>
          <w:vertAlign w:val="superscript"/>
        </w:rPr>
        <w:t>ης</w:t>
      </w:r>
      <w:r>
        <w:rPr>
          <w:rFonts w:cs="Arial" w:ascii="Book Antiqua" w:hAnsi="Book Antiqua"/>
          <w:sz w:val="24"/>
          <w:szCs w:val="24"/>
        </w:rPr>
        <w:t xml:space="preserve"> Οκτωβρίου 2019.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ΚΕΦΑΛΑΙΟ Γ’</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ΠΕΡΙΦΕΡΕΙΑΚΕΣ ΑΡΧΕΣ- ΕΚΛΟΓΙΚΗ ΔΙΑΔΙΚΑΣΙΑ – ΕΚΛΟΓΙΚΟ ΣΥΣΤΗΜΑ</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ΤΜΗΜΑ Α’</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ΠΕΡΙΦΕΡΕΙΑΚΕΣ ΑΡΧΕΣ</w:t>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44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113 του ν. 3852/2010</w:t>
      </w:r>
    </w:p>
    <w:p>
      <w:pPr>
        <w:pStyle w:val="Normal"/>
        <w:spacing w:lineRule="auto" w:line="360"/>
        <w:rPr>
          <w:rFonts w:ascii="Book Antiqua" w:hAnsi="Book Antiqua"/>
          <w:sz w:val="24"/>
          <w:szCs w:val="24"/>
        </w:rPr>
      </w:pPr>
      <w:r>
        <w:rPr>
          <w:rFonts w:ascii="Book Antiqua" w:hAnsi="Book Antiqua"/>
          <w:sz w:val="24"/>
          <w:szCs w:val="24"/>
        </w:rPr>
        <w:t>Η παρ. 2 του άρθρου 113 του ν. 3852/2010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t>«Οι αντιπεριφερειάρχες είναι κατ’ ελάχιστο ίσοι σε αριθμό με τις περιφερειακές ενότητες και ο μέγιστος αριθμός τους μπορεί να προσαυξάνεται έως κατά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αντιπεριφερειαρχών είναι ίσος με τον αριθμό των νομών της οικείας περιφέρεια».</w:t>
      </w:r>
    </w:p>
    <w:p>
      <w:pPr>
        <w:pStyle w:val="Normal"/>
        <w:keepNext/>
        <w:numPr>
          <w:ilvl w:val="0"/>
          <w:numId w:val="0"/>
        </w:numPr>
        <w:spacing w:lineRule="auto" w:line="360" w:before="240" w:after="60"/>
        <w:ind w:right="26" w:hanging="0"/>
        <w:jc w:val="center"/>
        <w:outlineLvl w:val="2"/>
        <w:rPr>
          <w:rFonts w:ascii="Book Antiqua" w:hAnsi="Book Antiqua"/>
          <w:sz w:val="24"/>
          <w:szCs w:val="24"/>
          <w:lang w:eastAsia="el-GR"/>
        </w:rPr>
      </w:pPr>
      <w:r>
        <w:rPr>
          <w:rFonts w:ascii="Book Antiqua" w:hAnsi="Book Antiqua"/>
          <w:sz w:val="24"/>
          <w:szCs w:val="24"/>
          <w:lang w:eastAsia="el-GR"/>
        </w:rPr>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ΤΜΗΜΑ Β’</w:t>
        <w:br/>
        <w:t>ΕΚΛΟΓΙΚΗ ΔΙΑΔΙΚΑΣΙΑ – ΕΚΛΟΓΙΚΟ ΣΥΣΤΗΜΑ</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Άρθρο 45</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Διάρκεια περιφερειακής περιόδου – Αντικατάσταση άρθρου 114 του ν. 3852/2010</w:t>
      </w:r>
    </w:p>
    <w:p>
      <w:pPr>
        <w:pStyle w:val="Normal"/>
        <w:keepNext/>
        <w:numPr>
          <w:ilvl w:val="0"/>
          <w:numId w:val="0"/>
        </w:numPr>
        <w:spacing w:lineRule="auto" w:line="360" w:before="240" w:after="60"/>
        <w:jc w:val="both"/>
        <w:outlineLvl w:val="1"/>
        <w:rPr>
          <w:rFonts w:ascii="Book Antiqua" w:hAnsi="Book Antiqua" w:cs="Arial"/>
          <w:bCs/>
          <w:iCs/>
          <w:sz w:val="24"/>
          <w:szCs w:val="24"/>
        </w:rPr>
      </w:pPr>
      <w:r>
        <w:rPr>
          <w:rFonts w:cs="Arial" w:ascii="Book Antiqua" w:hAnsi="Book Antiqua"/>
          <w:bCs/>
          <w:iCs/>
          <w:sz w:val="24"/>
          <w:szCs w:val="24"/>
        </w:rPr>
        <w:t>Το άρθρο 114 του ν. 3852/2010 αντικαθίσταται ως εξής:</w:t>
      </w:r>
    </w:p>
    <w:p>
      <w:pPr>
        <w:pStyle w:val="Normal"/>
        <w:keepNext/>
        <w:numPr>
          <w:ilvl w:val="0"/>
          <w:numId w:val="0"/>
        </w:numPr>
        <w:spacing w:lineRule="auto" w:line="360" w:before="240" w:after="60"/>
        <w:jc w:val="center"/>
        <w:outlineLvl w:val="1"/>
        <w:rPr>
          <w:rFonts w:ascii="Book Antiqua" w:hAnsi="Book Antiqua" w:cs="Arial"/>
          <w:bCs/>
          <w:iCs/>
          <w:sz w:val="24"/>
          <w:szCs w:val="24"/>
        </w:rPr>
      </w:pPr>
      <w:r>
        <w:rPr>
          <w:rFonts w:cs="Arial" w:ascii="Book Antiqua" w:hAnsi="Book Antiqua"/>
          <w:bCs/>
          <w:iCs/>
          <w:sz w:val="24"/>
          <w:szCs w:val="24"/>
        </w:rPr>
        <w:t>«Διάρκεια περιφερειακής περιόδου</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περιφερειάρχης και οι περιφερειακοί σύμβουλοι εκλέγονται κάθε τέσσερα (4) χρόνια με άμεση, καθολική και μυστική ψηφοφορία.</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στα ανωτέρω αξιώματα γίνεται τη δεύτερη Κυριακή του μηνός Οκτωβρίου, κάθε τέταρτο έτος.</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που δεν έχει αναδειχθεί επιτυχών συνδυασμός, σύμφωνα με τα οριζόμενα στο άρθρο 139 του παρόντος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Με την επιφύλαξη τυχόν ειδικότερων ρυθμίσεων, η προεκλογική περίοδος αρχίζει δύο (2) μήνες πριν την ημερομηνία των εκλογών.</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pPr>
        <w:pStyle w:val="HTMLPreformatted"/>
        <w:numPr>
          <w:ilvl w:val="0"/>
          <w:numId w:val="62"/>
        </w:numPr>
        <w:spacing w:lineRule="auto" w:line="360"/>
        <w:ind w:left="1080" w:right="150" w:hanging="360"/>
        <w:jc w:val="both"/>
        <w:rPr>
          <w:rFonts w:ascii="Book Antiqua" w:hAnsi="Book Antiqua" w:cs="Arial"/>
          <w:b/>
          <w:b/>
          <w:color w:val="C00000"/>
          <w:sz w:val="24"/>
          <w:szCs w:val="24"/>
        </w:rPr>
      </w:pPr>
      <w:r>
        <w:rPr>
          <w:rFonts w:cs="Arial" w:ascii="Book Antiqua" w:hAnsi="Book Antiqua"/>
          <w:sz w:val="24"/>
          <w:szCs w:val="24"/>
        </w:rPr>
        <w:t>Για την πρώτη εφαρμογή του παρόντος, ο πρώτος γύρος της εκλογικής διαδικασίας στα αξιώματα της παρ. 1 του άρθρου 114 του ν. 3852/2010 θα διεξαχθεί την 13</w:t>
      </w:r>
      <w:r>
        <w:rPr>
          <w:rFonts w:cs="Arial" w:ascii="Book Antiqua" w:hAnsi="Book Antiqua"/>
          <w:sz w:val="24"/>
          <w:szCs w:val="24"/>
          <w:vertAlign w:val="superscript"/>
        </w:rPr>
        <w:t>η</w:t>
      </w:r>
      <w:r>
        <w:rPr>
          <w:rFonts w:cs="Arial" w:ascii="Book Antiqua" w:hAnsi="Book Antiqua"/>
          <w:sz w:val="24"/>
          <w:szCs w:val="24"/>
        </w:rPr>
        <w:t xml:space="preserve"> Οκτωβρίου 2019 και η εγκατάσταση των νέων αρχών θα γίνει την 1</w:t>
      </w:r>
      <w:r>
        <w:rPr>
          <w:rFonts w:cs="Arial" w:ascii="Book Antiqua" w:hAnsi="Book Antiqua"/>
          <w:sz w:val="24"/>
          <w:szCs w:val="24"/>
          <w:vertAlign w:val="superscript"/>
        </w:rPr>
        <w:t>η</w:t>
      </w:r>
      <w:r>
        <w:rPr>
          <w:rFonts w:cs="Arial" w:ascii="Book Antiqua" w:hAnsi="Book Antiqua"/>
          <w:sz w:val="24"/>
          <w:szCs w:val="24"/>
        </w:rPr>
        <w:t xml:space="preserve"> Ιανουαρίου 2020. Η τρέχουσα περιφερειακή περίοδος παρατείνεται μέχρι την 31</w:t>
      </w:r>
      <w:r>
        <w:rPr>
          <w:rFonts w:cs="Arial" w:ascii="Book Antiqua" w:hAnsi="Book Antiqua"/>
          <w:sz w:val="24"/>
          <w:szCs w:val="24"/>
          <w:vertAlign w:val="superscript"/>
        </w:rPr>
        <w:t>η</w:t>
      </w:r>
      <w:r>
        <w:rPr>
          <w:rFonts w:cs="Arial" w:ascii="Book Antiqua" w:hAnsi="Book Antiqua"/>
          <w:sz w:val="24"/>
          <w:szCs w:val="24"/>
        </w:rPr>
        <w:t xml:space="preserve"> Δεκεμβρίου 2019 και η θητεία των περιφερειακών αρχών λογίζεται πλήρης για όλες τις συνέπειες.</w:t>
      </w:r>
      <w:r>
        <w:rPr>
          <w:rFonts w:cs="Arial" w:ascii="Book Antiqua" w:hAnsi="Book Antiqua"/>
          <w:b/>
          <w:color w:val="C00000"/>
          <w:sz w:val="24"/>
          <w:szCs w:val="24"/>
        </w:rPr>
        <w:t xml:space="preserve"> </w:t>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46</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άρθρου 115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115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Εκλογικό δικαίωμα – Αντικατάσταση άρθρου 116 του ν. 3852/2010</w:t>
      </w:r>
    </w:p>
    <w:p>
      <w:pPr>
        <w:pStyle w:val="Normal"/>
        <w:spacing w:lineRule="auto" w:line="360"/>
        <w:rPr>
          <w:rFonts w:ascii="Book Antiqua" w:hAnsi="Book Antiqua"/>
          <w:sz w:val="24"/>
          <w:szCs w:val="24"/>
        </w:rPr>
      </w:pPr>
      <w:r>
        <w:rPr>
          <w:rFonts w:ascii="Book Antiqua" w:hAnsi="Book Antiqua"/>
          <w:sz w:val="24"/>
          <w:szCs w:val="24"/>
        </w:rPr>
        <w:t>Το άρθρο 116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1"/>
        <w:rPr/>
      </w:pPr>
      <w:r>
        <w:rPr/>
        <w:t>«Εκλογικό δικαίωμα – Εκλογείς - Εκλόγιμοι</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π.δ. 133/1997 (Α’ 121) για τη συμμετοχή των πολιτών των κρατών-μελών της Ευρωπαϊκής Ένωσης στην εκλογή των δημοτικών αρχών, εφαρμόζονται αναλόγως, με την επιφύλαξη τυχόν ειδικών ρυθμίσεων του παρόντος νόμου, και για την εκλογή των περιφερειακών αρχών.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Ως προς το όριο ηλικίας για την άσκηση του εκλογικού δικαιώματος εφαρμόζονται οι διατάξεις της νομοθεσίας για την εκλογή βουλευτών, όπως κάθε φορά ισχύουν. Η πρώτη (1η) Ιανουαρίου κάθε έτους θεωρείται ημερομηνία γέννησης εκείνων που έχουν γεννηθεί κατά το έτος αυτό.</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Περιφερειάρχης μπορεί να εκλεγεί δημότης δήμου της οικείας περιφέρειας, που έχει την ικανότητα του εκλέγειν και έχει συμπληρώσει το 21ο έτος της ηλικίας του, κατά την ημέρα των εκλογών.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Μέλος του περιφερειακού συμβουλίου μπορεί να εκλεγεί:</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color w:val="000000"/>
          <w:sz w:val="24"/>
          <w:szCs w:val="24"/>
        </w:rPr>
        <w:t>Η άσκηση του εκλογικού δικαιώματος είναι υποχρεωτική. Κατ` εξαίρεση η άσκηση του εκλογικού δικαιώματος δεν είναι υποχρεωτική για τους κατοίκους 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color w:val="000000"/>
          <w:sz w:val="24"/>
          <w:szCs w:val="24"/>
        </w:rPr>
        <w:t xml:space="preserve">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w:t>
      </w:r>
      <w:r>
        <w:rPr>
          <w:rFonts w:cs="Arial" w:ascii="Book Antiqua" w:hAnsi="Book Antiqua"/>
          <w:sz w:val="24"/>
          <w:szCs w:val="24"/>
        </w:rPr>
        <w:t>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48</w:t>
      </w:r>
    </w:p>
    <w:p>
      <w:pPr>
        <w:pStyle w:val="Normal"/>
        <w:spacing w:lineRule="auto" w:line="360"/>
        <w:jc w:val="center"/>
        <w:rPr>
          <w:rFonts w:ascii="Book Antiqua" w:hAnsi="Book Antiqua"/>
          <w:b/>
          <w:b/>
          <w:sz w:val="24"/>
          <w:szCs w:val="24"/>
        </w:rPr>
      </w:pPr>
      <w:r>
        <w:rPr>
          <w:rFonts w:ascii="Book Antiqua" w:hAnsi="Book Antiqua"/>
          <w:b/>
          <w:sz w:val="24"/>
          <w:szCs w:val="24"/>
        </w:rPr>
        <w:t xml:space="preserve">Εκλογικοί κατάλογοι </w:t>
      </w:r>
    </w:p>
    <w:p>
      <w:pPr>
        <w:pStyle w:val="Normal"/>
        <w:spacing w:lineRule="auto" w:line="360"/>
        <w:jc w:val="both"/>
        <w:rPr>
          <w:rFonts w:ascii="Book Antiqua" w:hAnsi="Book Antiqua"/>
          <w:sz w:val="24"/>
          <w:szCs w:val="24"/>
        </w:rPr>
      </w:pPr>
      <w:r>
        <w:rPr>
          <w:rFonts w:ascii="Book Antiqua" w:hAnsi="Book Antiqua"/>
          <w:sz w:val="24"/>
          <w:szCs w:val="24"/>
        </w:rPr>
        <w:t>Στο ν. 3852/2010 προστίθεται άρθρο 116Α</w:t>
      </w:r>
      <w:r>
        <w:rPr>
          <w:rFonts w:ascii="Book Antiqua" w:hAnsi="Book Antiqua"/>
          <w:sz w:val="24"/>
          <w:szCs w:val="24"/>
          <w:vertAlign w:val="superscript"/>
        </w:rPr>
        <w:t xml:space="preserve"> </w:t>
      </w:r>
      <w:r>
        <w:rPr>
          <w:rFonts w:ascii="Book Antiqua" w:hAnsi="Book Antiqua"/>
          <w:sz w:val="24"/>
          <w:szCs w:val="24"/>
        </w:rPr>
        <w:t xml:space="preserve">ως εξής: </w:t>
      </w:r>
    </w:p>
    <w:p>
      <w:pPr>
        <w:pStyle w:val="311pt"/>
        <w:rPr/>
      </w:pPr>
      <w:r>
        <w:rPr/>
        <w:t>«Εκλογικοί κατάλογοι</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περιφερειακών αρχών. Ισχύουν επίσης, οι ειδικοί εκλογικοί κατάλογοι των πολιτών της Ευρωπαϊκής Ένωσης, κατ’ αναλογία προς τις διατάξεις του π.δ. 133/1997, όπως ισχύουν».</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975" w:leader="none"/>
        </w:tabs>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49</w:t>
      </w:r>
    </w:p>
    <w:p>
      <w:pPr>
        <w:pStyle w:val="HTMLPreformatted"/>
        <w:tabs>
          <w:tab w:val="left" w:pos="975" w:leader="none"/>
        </w:tabs>
        <w:spacing w:lineRule="auto" w:line="360"/>
        <w:ind w:right="150" w:hanging="0"/>
        <w:jc w:val="center"/>
        <w:rPr>
          <w:rFonts w:ascii="Book Antiqua" w:hAnsi="Book Antiqua" w:cs="Arial"/>
          <w:b/>
          <w:b/>
          <w:sz w:val="24"/>
          <w:szCs w:val="24"/>
        </w:rPr>
      </w:pPr>
      <w:r>
        <w:rPr>
          <w:rFonts w:cs="Arial" w:ascii="Book Antiqua" w:hAnsi="Book Antiqua"/>
          <w:b/>
          <w:sz w:val="24"/>
          <w:szCs w:val="24"/>
        </w:rPr>
        <w:t>Κωλύματα εκλογιμότητας και ασυμβίβαστα – Αντικατάσταση άρθρου 117 του ν. 3852/2010</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Το άρθρο 117 του ν. 3852/2010 αντικαθίσταται ως εξής:</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«Κωλύματα εκλογιμότητας και ασυμβίβαστα</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εκλεγούν ή να είναι περιφερειάρχες ή περιφερειακοί σύμβουλοι: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Δικαστικοί λειτουργοί, αξιωματικοί των ενόπλων δυνάμεων και των σωμάτων ασφαλείας και θρησκευτικοί λειτουργοί των γνωστών θρησκειών. Κατ’ εξαίρεση, δικαστικοί λειτουργοί και αξιωματικοί των ενόπλων δυνάμεων και των σωμάτων ασφαλείας, εφ’ όσον δεν υπηρέτησαν εντός των ορίων της περιφέρειας στην οποία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Δημοτικός και Περιφερειακός Διαμεσολαβητής, εφόσον η χωρική του αρμοδιότητα εκτείνεται εντός της περιφέρειας για την οποία θέτει υποψηφιότητα.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Ο Επόπτης ΟΤΑ, στις περιφέρειες στις οποίες εκτεινόταν η αρμοδιότητά του, για πέντε (5) έτη από τη λήξη της θητείας του, ακόμα και αν παραιτηθεί από τη θέση του πριν τη λήξη αυτής.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στις περιφέρειες στη χωρική περιφέρεια των οποίων εκτείνονταν η αρμοδιότητά τους, μέσα στο δεκαοκτάμηνο πριν από τη διενέργεια των δημοτικών εκλογών.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σύμβαση που είναι σχετική με το αντικείμενο της δραστηριότητας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προηγούμενης περίπτωσης.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 </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Επιπλέον των οριζόμενων στην προηγούμενη παράγραφο, δεν μπορούν να εκλεγούν ή να είναι περιφερειάρχες ή περιφερειακοί σύμβουλοι: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Εκτελεστικοί γραμματείς περιφερειών</w:t>
      </w:r>
      <w:r>
        <w:rPr>
          <w:rFonts w:cs="Arial" w:ascii="Book Antiqua" w:hAnsi="Book Antiqua"/>
          <w:color w:val="000000"/>
          <w:sz w:val="24"/>
          <w:szCs w:val="24"/>
        </w:rPr>
        <w:t xml:space="preserve">, επιστημονικοί και ειδικοί συνεργάτες, δικηγόροι με έμμισθη εντολή των περιφερειών, </w:t>
      </w:r>
      <w:r>
        <w:rPr>
          <w:rFonts w:cs="Arial" w:ascii="Book Antiqua" w:hAnsi="Book Antiqua"/>
          <w:sz w:val="24"/>
          <w:szCs w:val="24"/>
        </w:rPr>
        <w:t>στις περιφέρειες στις οποίες υπηρέτησαν κατά την προηγούμενη των εκλογών αυτοδιοικητική περίοδο.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την επιφύλαξη της περ. ε’ της παρ.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ιδιότητα και το αξίωμα του περιφερειακού συμβούλου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Κώλυμα εκλογιμότητας συντρέχει για όσους έχουν εκπέσει από οποιοδήποτε αιρετό αξίωμα τους, κατόπιν αμετάκλητης καταδίκης, σύμφωνα με τα οριζόμενα στο εδάφιο γ’ της παρ. 1 του άρθρου 236, καθώς και για όσους </w:t>
      </w:r>
      <w:r>
        <w:rPr>
          <w:rFonts w:cs="Arial" w:ascii="Book Antiqua" w:hAnsi="Book Antiqua"/>
          <w:color w:val="000000"/>
          <w:sz w:val="24"/>
          <w:szCs w:val="24"/>
        </w:rPr>
        <w:t xml:space="preserve">για όσους έχουν εκπέσει από το αιρετό αξίωμα τους, κατόπιν πειθαρχικού παραπτώματος, κατά τις διατάξεις </w:t>
      </w:r>
      <w:r>
        <w:rPr>
          <w:rFonts w:cs="Arial" w:ascii="Book Antiqua" w:hAnsi="Book Antiqua"/>
          <w:sz w:val="24"/>
          <w:szCs w:val="24"/>
        </w:rPr>
        <w:t>του άρθρου 173.</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Τα κωλύματα της παρούσας παραγράφου ισχύουν για την επόμενη της έκπτωσης αυτοδιοικητική περίοδο.</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κατά το άρθρο 118 ή αποκτούν δημοτικότητα σε δήμο εκτός των ορίων της οικείας περιφέρειας, εκπίπτουν από το αξίωμα τους. Το κατά τόπο αρμόδιο Διοικητικό Εφετείο με απόφαση του διαπιστώνει την ύπαρξη του ασυμβιβάστου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 xml:space="preserve">Υποψηφιότητες – Συνδυασμοί – Αντικατάσταση άρθρου 120 του ν. 3852/2010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120 του ν. 3852/2010 αντικαθίσταται ως εξής:</w:t>
      </w:r>
    </w:p>
    <w:p>
      <w:pPr>
        <w:pStyle w:val="311pt"/>
        <w:rPr/>
      </w:pPr>
      <w:r>
        <w:rPr/>
        <w:t>«Υποψηφιότητες – κατάρτιση συνδυασμών στις περιφερειακές εκλογές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του περιφερειάρχη και των περιφερειακών συμβούλων γίνεται κατά συνδυασμούς. Υποψηφιότητες εκτός συνδυασμών αποκλείονται.</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Κάθε συνδυασμός περιλαμβάνει: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Έναν υποψήφιο περιφερειάρχη.</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Υποψήφιους περιφερειακούς συμβούλους ανά εκλογική περιφέρεια σύμφωνα με τις επόμενες παραγράφους.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Υποψηφιότητα από το ίδιο πρόσωπο για την εκλογή του και ως περιφερειάρχη και ως μέλους περιφερειακού συμβουλίου δεν επιτρέπεται.</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 επικεφαλής του.</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ονοματεπωνυμικών στοιχείων των υποψηφίων εφαρμόζεται η παράγραφος 6 του άρθρου 18.</w:t>
      </w:r>
      <w:r>
        <w:rPr>
          <w:rFonts w:cs="Arial" w:ascii="Book Antiqua" w:hAnsi="Book Antiqua"/>
          <w:b/>
          <w:color w:val="FF0000"/>
          <w:sz w:val="24"/>
          <w:szCs w:val="24"/>
        </w:rPr>
        <w:t xml:space="preserve"> </w:t>
      </w:r>
      <w:r>
        <w:rPr>
          <w:rFonts w:cs="Arial" w:ascii="Book Antiqua" w:hAnsi="Book Antiqua"/>
          <w:sz w:val="24"/>
          <w:szCs w:val="24"/>
        </w:rPr>
        <w:t>Οι εκλογικές περιφέρειες αναγράφονται επίσης με την αλφαβητική σειρά της ονομασίας τους. Ο αριθμός των υποψήφιων περιφερειακών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δήμου της περιφέρειας.</w:t>
      </w:r>
    </w:p>
    <w:p>
      <w:pPr>
        <w:pStyle w:val="HTMLPreformatted"/>
        <w:spacing w:lineRule="auto" w:line="360"/>
        <w:ind w:left="1080"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117.</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Κατά τα λοιπά εφαρμόζονται αναλόγως οι παράγραφοι 6, 7, 8 και 9 του άρθρου 18». </w:t>
      </w:r>
    </w:p>
    <w:p>
      <w:pPr>
        <w:pStyle w:val="311pt1"/>
        <w:rPr>
          <w:rStyle w:val="311ptChar"/>
        </w:rPr>
      </w:pPr>
      <w:r>
        <w:rPr/>
      </w:r>
    </w:p>
    <w:p>
      <w:pPr>
        <w:pStyle w:val="311pt1"/>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51</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121 του ν. 3852/2010</w:t>
      </w:r>
    </w:p>
    <w:p>
      <w:pPr>
        <w:pStyle w:val="Normal"/>
        <w:spacing w:lineRule="auto" w:line="360"/>
        <w:rPr>
          <w:rFonts w:ascii="Book Antiqua" w:hAnsi="Book Antiqua"/>
          <w:sz w:val="24"/>
          <w:szCs w:val="24"/>
        </w:rPr>
      </w:pPr>
      <w:r>
        <w:rPr>
          <w:rFonts w:ascii="Book Antiqua" w:hAnsi="Book Antiqua"/>
          <w:sz w:val="24"/>
          <w:szCs w:val="24"/>
        </w:rPr>
        <w:t>Το άρθρο 121 του ν. 3852/2010 καταργείται.</w:t>
      </w:r>
    </w:p>
    <w:p>
      <w:pPr>
        <w:pStyle w:val="311pt1"/>
        <w:rPr>
          <w:rStyle w:val="311ptChar"/>
        </w:rPr>
      </w:pPr>
      <w:r>
        <w:rPr/>
      </w:r>
    </w:p>
    <w:p>
      <w:pPr>
        <w:pStyle w:val="311pt1"/>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52</w:t>
      </w:r>
    </w:p>
    <w:p>
      <w:pPr>
        <w:pStyle w:val="Normal"/>
        <w:spacing w:lineRule="auto" w:line="360"/>
        <w:jc w:val="center"/>
        <w:rPr>
          <w:rFonts w:ascii="Book Antiqua" w:hAnsi="Book Antiqua"/>
          <w:b/>
          <w:b/>
          <w:sz w:val="24"/>
          <w:szCs w:val="24"/>
        </w:rPr>
      </w:pPr>
      <w:r>
        <w:rPr>
          <w:rFonts w:ascii="Book Antiqua" w:hAnsi="Book Antiqua"/>
          <w:b/>
          <w:sz w:val="24"/>
          <w:szCs w:val="24"/>
        </w:rPr>
        <w:t>Περιεχόμενο ψηφοδελτίων στις περιφερειακές εκλογές – Αντικατάσταση άρθρου 129 του ν. 3852/2010</w:t>
      </w:r>
    </w:p>
    <w:p>
      <w:pPr>
        <w:pStyle w:val="Normal"/>
        <w:spacing w:lineRule="auto" w:line="360"/>
        <w:rPr>
          <w:rFonts w:ascii="Book Antiqua" w:hAnsi="Book Antiqua"/>
          <w:sz w:val="24"/>
          <w:szCs w:val="24"/>
        </w:rPr>
      </w:pPr>
      <w:bookmarkStart w:id="40" w:name="_Toc288214505"/>
      <w:r>
        <w:rPr>
          <w:rFonts w:ascii="Book Antiqua" w:hAnsi="Book Antiqua"/>
          <w:sz w:val="24"/>
          <w:szCs w:val="24"/>
        </w:rPr>
        <w:t>Το άρθρο 129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41" w:name="_Toc288214505"/>
      <w:bookmarkEnd w:id="41"/>
      <w:r>
        <w:rPr/>
        <w:t>«Περιεχόμενο των ψηφοδελτίων για  τις περιφερειακές  εκλογές</w:t>
      </w:r>
    </w:p>
    <w:p>
      <w:pPr>
        <w:pStyle w:val="HTMLPreformatted"/>
        <w:numPr>
          <w:ilvl w:val="0"/>
          <w:numId w:val="65"/>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εκλογική περιφέρεια ο συνδυασμός εκτυπώνει ιδιαίτερο ψηφοδέλτιο, στο επάνω μέρος του οποίου σημειώνεται το τυχόν έμβλημα και το όνομα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στο πρώτο μέρος του ψηφοδελτίου τίθενται, αλφαβητική σειρά οι υποψήφιοι περιφερειακοί σύμβουλοι της αντίστοιχης εκλογικής περιφέρειας,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εντός παρενθέσεως της εκλογικής περιφέρειας στην οποία είναι υποψήφιοι.</w:t>
      </w:r>
    </w:p>
    <w:p>
      <w:pPr>
        <w:pStyle w:val="HTMLPreformatted"/>
        <w:numPr>
          <w:ilvl w:val="0"/>
          <w:numId w:val="65"/>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περιφερειακών αρχών, κατά τις διατάξεις του άρθρου 139, χρησιμοποιούνται τα ίδια ψηφοδέλτια».</w:t>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42" w:name="_Toc288214507"/>
      <w:r>
        <w:rPr>
          <w:rFonts w:ascii="Book Antiqua" w:hAnsi="Book Antiqua"/>
          <w:b/>
          <w:sz w:val="24"/>
          <w:szCs w:val="24"/>
        </w:rPr>
        <w:t>Άρθρο  53</w:t>
      </w:r>
    </w:p>
    <w:p>
      <w:pPr>
        <w:pStyle w:val="Normal"/>
        <w:spacing w:lineRule="auto" w:line="360"/>
        <w:jc w:val="center"/>
        <w:rPr>
          <w:rFonts w:ascii="Book Antiqua" w:hAnsi="Book Antiqua"/>
          <w:b/>
          <w:b/>
          <w:sz w:val="24"/>
          <w:szCs w:val="24"/>
        </w:rPr>
      </w:pPr>
      <w:r>
        <w:rPr>
          <w:rFonts w:ascii="Book Antiqua" w:hAnsi="Book Antiqua"/>
          <w:b/>
          <w:sz w:val="24"/>
          <w:szCs w:val="24"/>
        </w:rPr>
        <w:t xml:space="preserve">Σταυροί προτίμησης </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129Α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43" w:name="_Toc288214507"/>
      <w:bookmarkEnd w:id="43"/>
      <w:r>
        <w:rPr/>
        <w:t>«Σταυροί προτίμησης για την εκλογή περιφερειακών αρχών</w:t>
      </w:r>
    </w:p>
    <w:p>
      <w:pPr>
        <w:pStyle w:val="HTMLPreformatted"/>
        <w:numPr>
          <w:ilvl w:val="0"/>
          <w:numId w:val="66"/>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προτίμηση του εκλογέα εκφράζεται με σταυρό, που σημειώνεται με στυλογράφο μαύρης ή κυανής απόχρωσης δίπλα στο ονοματεπώνυμο κάθε υποψηφίου.</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Σταυρός προτίμησης που σημειώνεται με διαφορετικό τρόπο, θεωρείται ότι δεν είναι γραμμένος και η εγκυρότητα του ψηφοδελτίου ερευνάται, σύμφωνα με το άρθρο 130.</w:t>
      </w:r>
    </w:p>
    <w:p>
      <w:pPr>
        <w:pStyle w:val="HTMLPreformatted"/>
        <w:numPr>
          <w:ilvl w:val="0"/>
          <w:numId w:val="66"/>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Ο εκλογέας μπορεί να εκφράσει την προτίμησή του υπέρ :</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ενός (1) υποψηφίου της οικείας εκλογικής περιφέρειας και ενός (1) ακόμη υποψηφίου από τις υπόλοιπες εκλογικές περιφέρειες, σε περιφέρειες που εκλέγουν έως τρεις (3) περιφερειακούς συμβούλους,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ενός (1) ή δύο (2) υποψηφίων της οικείας εκλογικής περιφέρειας και ενός (1) ακόμη υποψηφίου από τις υπόλοιπες εκλογικές περιφέρειες, σε περιφέρειες που εκλέγουν από τέσσερις (4) έως επτά (7) περιφερειακούς συμβούλους,</w:t>
      </w:r>
    </w:p>
    <w:p>
      <w:pPr>
        <w:pStyle w:val="HTMLPreformatted"/>
        <w:spacing w:lineRule="auto" w:line="360"/>
        <w:ind w:left="1080" w:right="150" w:hanging="0"/>
        <w:jc w:val="both"/>
        <w:rPr>
          <w:rFonts w:ascii="Book Antiqua" w:hAnsi="Book Antiqua" w:cs="Arial"/>
          <w:color w:val="000000"/>
          <w:sz w:val="24"/>
          <w:szCs w:val="24"/>
        </w:rPr>
      </w:pPr>
      <w:r>
        <w:rPr>
          <w:rFonts w:cs="Arial" w:ascii="Book Antiqua" w:hAnsi="Book Antiqua"/>
          <w:color w:val="000000"/>
          <w:sz w:val="24"/>
          <w:szCs w:val="24"/>
        </w:rPr>
        <w:t>γ) ενός (1) ή δύο (2) ή τριών (3) υποψηφίων της οικείας εκλογικής περιφέρειας και ενός (1) ακόμη υποψηφίου από τις υπόλοιπες εκλογικές περιφέρειες</w:t>
      </w:r>
      <w:r>
        <w:rPr>
          <w:rFonts w:cs="Arial" w:ascii="Book Antiqua" w:hAnsi="Book Antiqua"/>
          <w:sz w:val="24"/>
          <w:szCs w:val="24"/>
        </w:rPr>
        <w:t xml:space="preserve">, σε περιφέρειες που εκλέγουν από οκτώ (8) έως και δώδεκα (12) περιφερειακούς συμβούλους </w:t>
      </w:r>
      <w:r>
        <w:rPr>
          <w:rFonts w:cs="Arial" w:ascii="Book Antiqua" w:hAnsi="Book Antiqua"/>
          <w:color w:val="000000"/>
          <w:sz w:val="24"/>
          <w:szCs w:val="24"/>
        </w:rPr>
        <w:t>και</w:t>
      </w:r>
    </w:p>
    <w:p>
      <w:pPr>
        <w:pStyle w:val="HTMLPreformatted"/>
        <w:spacing w:lineRule="auto" w:line="360"/>
        <w:ind w:left="1080" w:right="150" w:hanging="0"/>
        <w:jc w:val="both"/>
        <w:rPr>
          <w:rFonts w:ascii="Book Antiqua" w:hAnsi="Book Antiqua" w:cs="Arial"/>
          <w:color w:val="000000"/>
          <w:sz w:val="24"/>
          <w:szCs w:val="24"/>
        </w:rPr>
      </w:pPr>
      <w:r>
        <w:rPr>
          <w:rFonts w:cs="Arial" w:ascii="Book Antiqua" w:hAnsi="Book Antiqua"/>
          <w:color w:val="000000"/>
          <w:sz w:val="24"/>
          <w:szCs w:val="24"/>
        </w:rPr>
        <w:t>δ) ενός (1) ή δύο (2) ή τριών (3) ή τεσσάρων (4) υποψηφίων της οικείας εκλογικής περιφέρειας και ενός (1) ακόμη υποψηφίου από τις υπόλοιπες εκλογικές περιφέρειες</w:t>
      </w:r>
      <w:r>
        <w:rPr>
          <w:rFonts w:cs="Arial" w:ascii="Book Antiqua" w:hAnsi="Book Antiqua"/>
          <w:sz w:val="24"/>
          <w:szCs w:val="24"/>
        </w:rPr>
        <w:t>,</w:t>
      </w:r>
      <w:r>
        <w:rPr>
          <w:rFonts w:cs="Arial" w:ascii="Book Antiqua" w:hAnsi="Book Antiqua"/>
          <w:color w:val="000000"/>
          <w:sz w:val="24"/>
          <w:szCs w:val="24"/>
        </w:rPr>
        <w:t xml:space="preserve"> σε περιφέρειες που εκλέγουν  περισσότερους από δώδεκα (12) περιφερειακούς συμβούλους.</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Για τον υποψήφιο περιφερειάρχη δεν χρειάζεται σταυρός προτίμησης. Αν σημειωθεί, δεν συνεπάγεται ακυρότητα του ψηφοδελτίου.</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περιφερειακών αρχών, κατά τις διατάξεις του άρθρου 139, δεν απαιτείται σταυρός προτίμησης και, αν σημειωθεί, δεν συνεπάγεται ακυρότητα του ψηφοδελτίου».</w:t>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center"/>
        <w:rPr>
          <w:rFonts w:ascii="Book Antiqua" w:hAnsi="Book Antiqua" w:cs="Arial"/>
          <w:b/>
          <w:b/>
          <w:sz w:val="24"/>
          <w:szCs w:val="24"/>
        </w:rPr>
      </w:pPr>
      <w:r>
        <w:rPr>
          <w:rFonts w:cs="Arial" w:ascii="Book Antiqua" w:hAnsi="Book Antiqua"/>
          <w:b/>
          <w:sz w:val="24"/>
          <w:szCs w:val="24"/>
        </w:rPr>
        <w:t>Άρθρο 54</w:t>
      </w:r>
    </w:p>
    <w:p>
      <w:pPr>
        <w:pStyle w:val="HTMLPreformatted"/>
        <w:spacing w:lineRule="auto" w:line="360"/>
        <w:ind w:left="720" w:right="150" w:hanging="0"/>
        <w:jc w:val="center"/>
        <w:rPr>
          <w:rFonts w:ascii="Book Antiqua" w:hAnsi="Book Antiqua" w:cs="Arial"/>
          <w:b/>
          <w:b/>
          <w:sz w:val="24"/>
          <w:szCs w:val="24"/>
        </w:rPr>
      </w:pPr>
      <w:r>
        <w:rPr>
          <w:rFonts w:cs="Arial" w:ascii="Book Antiqua" w:hAnsi="Book Antiqua"/>
          <w:b/>
          <w:sz w:val="24"/>
          <w:szCs w:val="24"/>
        </w:rPr>
        <w:t>Άκυρα ψηφοδέλτια – Αντικατάσταση άρθρου 130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130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 xml:space="preserve"> </w:t>
      </w:r>
      <w:r>
        <w:rPr/>
        <w:t>«Άκυρα ψηφοδέλτια</w:t>
      </w:r>
    </w:p>
    <w:p>
      <w:pPr>
        <w:pStyle w:val="HTMLPreformatted"/>
        <w:numPr>
          <w:ilvl w:val="0"/>
          <w:numId w:val="72"/>
        </w:numPr>
        <w:spacing w:lineRule="auto" w:line="360"/>
        <w:ind w:left="720" w:right="150" w:hanging="360"/>
        <w:jc w:val="both"/>
        <w:rPr>
          <w:rFonts w:ascii="Book Antiqua" w:hAnsi="Book Antiqua" w:cs="Arial"/>
          <w:sz w:val="24"/>
          <w:szCs w:val="24"/>
        </w:rPr>
      </w:pPr>
      <w:r>
        <w:rPr>
          <w:rFonts w:cs="Arial" w:ascii="Book Antiqua" w:hAnsi="Book Antiqua"/>
          <w:sz w:val="24"/>
          <w:szCs w:val="24"/>
          <w:lang w:val="en-US"/>
        </w:rPr>
        <w:t>T</w:t>
      </w:r>
      <w:r>
        <w:rPr>
          <w:rFonts w:cs="Arial" w:ascii="Book Antiqua" w:hAnsi="Book Antiqua"/>
          <w:sz w:val="24"/>
          <w:szCs w:val="24"/>
        </w:rPr>
        <w:t>ο ψηφοδέλτιο είναι άκυρο όταν: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έχει σημειωθεί σταυρός προτίμησης με χρώμα διαφορετικό από εκείνα που ορίζονται στην παρ.  1 του άρθρου 129 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έχει σχήμα, διαστάσεις ή μορφή που διαφέρουν, κατά τρόπο εμφανή, από αυτά που ορίζει η παρ. 2 του άρθρου 127 και η υπουργική απόφαση που προβλέπεται στην ίδια παράγραφο.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γ) έχει τυπωθεί σε χαρτί ή με μελάνι που το χρώμα του διαφέρει, κατά τρόπο εμφανή, από αυτό που ορίζεται στις παρ. 1και 3 του </w:t>
      </w:r>
      <w:r>
        <w:rPr>
          <w:rFonts w:cs="Arial" w:ascii="Book Antiqua" w:hAnsi="Book Antiqua"/>
          <w:b/>
          <w:color w:val="FF0000"/>
          <w:sz w:val="24"/>
          <w:szCs w:val="24"/>
        </w:rPr>
        <w:t xml:space="preserve"> </w:t>
      </w:r>
      <w:r>
        <w:rPr>
          <w:rFonts w:cs="Arial" w:ascii="Book Antiqua" w:hAnsi="Book Antiqua"/>
          <w:sz w:val="24"/>
          <w:szCs w:val="24"/>
        </w:rPr>
        <w:t>άρθρου 127.</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pPr>
        <w:pStyle w:val="HTMLPreformatted"/>
        <w:numPr>
          <w:ilvl w:val="0"/>
          <w:numId w:val="72"/>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είναι επίσης αυτοδικαίως άκυρο και στις ακόλουθες περιπτώσεις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Αν βρεθεί στο φάκελο με ένα ή περισσότερα άλλα έγκυρα ή άκυρα ψηφοδέλτια, του ίδιου ή διαφορετικού συνδυασμού ή με λευκά.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Αν βρεθεί μέσα σε φάκελο, που δεν είναι σύμφωνος με τις ρυθμίσεις άρθρου 131.</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55</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Εκλογικό σύστημα – Κατανομή εδρών περιφερειακού συμβουλίου – Αντικατάσταση άρθρου 138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138 του ν. 3852/2010 αντικαθίσταται ως εξής:</w:t>
      </w:r>
    </w:p>
    <w:p>
      <w:pPr>
        <w:pStyle w:val="311pt1"/>
        <w:rPr/>
      </w:pPr>
      <w:r>
        <w:rPr/>
        <w:t>«Εκλογικό σύστημα - Κατανομή των εδρών του περιφερειακού συμβουλίου</w:t>
      </w:r>
    </w:p>
    <w:p>
      <w:pPr>
        <w:pStyle w:val="HTMLPreformatted"/>
        <w:numPr>
          <w:ilvl w:val="0"/>
          <w:numId w:val="67"/>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pPr>
        <w:pStyle w:val="HTMLPreformatted"/>
        <w:numPr>
          <w:ilvl w:val="0"/>
          <w:numId w:val="67"/>
        </w:numPr>
        <w:tabs>
          <w:tab w:val="left" w:pos="1080" w:leader="none"/>
        </w:tabs>
        <w:spacing w:lineRule="auto" w:line="360"/>
        <w:ind w:left="1080" w:right="150" w:hanging="360"/>
        <w:jc w:val="both"/>
        <w:rPr>
          <w:rFonts w:ascii="Book Antiqua" w:hAnsi="Book Antiqua" w:cs="Arial"/>
          <w:sz w:val="24"/>
          <w:szCs w:val="24"/>
        </w:rPr>
      </w:pPr>
      <w:r>
        <w:rPr>
          <w:rFonts w:cs="Arial" w:ascii="Book Antiqua" w:hAnsi="Book Antiqua"/>
          <w:sz w:val="24"/>
          <w:szCs w:val="24"/>
        </w:rPr>
        <w:t>Η αναλογική κατανομή των εδρών γίνεται ως εξής: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υπόλοιπα τους.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οι συνδυασμοί αυτοί ή μερικοί από αυτούς έχουν ίσο αριθμό αχρησιμοποίητων υπολοίπων, γίνεται κλήρωση.</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Σε περίπτωση ίσου αριθμού έγκυρων ψηφοδελτίων δύο ή και περισσότερων συνδυασμών, ενεργείται μεταξύ τους κλήρωση από το αρμόδιο δικαστήριο.</w:t>
      </w:r>
    </w:p>
    <w:p>
      <w:pPr>
        <w:pStyle w:val="HTMLPreformatted"/>
        <w:numPr>
          <w:ilvl w:val="0"/>
          <w:numId w:val="6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έως ότου συμπληρωθεί ο αριθμός των εδρών του περιφερειακού συμβουλίου, εκλέγονται τακτικοί και οι υπόλοιποι αναπληρωματικοί σύμβουλοι».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56</w:t>
      </w:r>
    </w:p>
    <w:p>
      <w:pPr>
        <w:pStyle w:val="Normal"/>
        <w:spacing w:lineRule="auto" w:line="360"/>
        <w:jc w:val="center"/>
        <w:rPr>
          <w:rFonts w:ascii="Book Antiqua" w:hAnsi="Book Antiqua"/>
          <w:b/>
          <w:b/>
          <w:sz w:val="24"/>
          <w:szCs w:val="24"/>
        </w:rPr>
      </w:pPr>
      <w:r>
        <w:rPr>
          <w:rFonts w:ascii="Book Antiqua" w:hAnsi="Book Antiqua"/>
          <w:b/>
          <w:sz w:val="24"/>
          <w:szCs w:val="24"/>
        </w:rPr>
        <w:t>Επανάληψη της ψηφοφορίας – Αντικατάσταση άρθρου 139 του ν. 3852/2010</w:t>
      </w:r>
    </w:p>
    <w:p>
      <w:pPr>
        <w:pStyle w:val="Normal"/>
        <w:spacing w:lineRule="auto" w:line="360"/>
        <w:rPr>
          <w:rFonts w:ascii="Book Antiqua" w:hAnsi="Book Antiqua"/>
          <w:sz w:val="24"/>
          <w:szCs w:val="24"/>
        </w:rPr>
      </w:pPr>
      <w:r>
        <w:rPr>
          <w:rFonts w:ascii="Book Antiqua" w:hAnsi="Book Antiqua"/>
          <w:sz w:val="24"/>
          <w:szCs w:val="24"/>
        </w:rPr>
        <w:t>Το άρθρο 139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1"/>
        <w:rPr/>
      </w:pPr>
      <w:r>
        <w:rPr/>
        <w:t>«Επανάληψη της ψηφοφορίας</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Εάν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ισοψηφίας στην πρώτη θέση κατά την πρώτη ψηφοφορία (α’ γύρο), δύο ή περισσότερων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Εάν στην ψηφοφορία αυτή (β’ γύρο) ισοψηφήσουν δύο ή περισσότεροι υποψήφιοι περιφερειάρχες στην πρώτη θέση, το Πρωτοδικείο διενεργεί κλήρωση για την ανάδειξη του επιτυχόντος περιφερειάρχη και του συνδυασμού του.</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44" w:name="_Toc288214537"/>
      <w:r>
        <w:rPr>
          <w:rFonts w:ascii="Book Antiqua" w:hAnsi="Book Antiqua"/>
          <w:b/>
          <w:sz w:val="24"/>
          <w:szCs w:val="24"/>
        </w:rPr>
        <w:t>Άρθρο 57</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ανά εκλογική περιφέρεια – Αντικατάσταση άρθρου 140 του ν. 3852/2010</w:t>
      </w:r>
    </w:p>
    <w:p>
      <w:pPr>
        <w:pStyle w:val="Normal"/>
        <w:spacing w:lineRule="auto" w:line="360"/>
        <w:rPr>
          <w:rFonts w:ascii="Book Antiqua" w:hAnsi="Book Antiqua"/>
          <w:sz w:val="24"/>
          <w:szCs w:val="24"/>
        </w:rPr>
      </w:pPr>
      <w:r>
        <w:rPr>
          <w:rFonts w:ascii="Book Antiqua" w:hAnsi="Book Antiqua"/>
          <w:sz w:val="24"/>
          <w:szCs w:val="24"/>
        </w:rPr>
        <w:t>Το άρθρο 140 του ν. 3852/2010 αντικαθίσταται ως εξής:</w:t>
      </w:r>
    </w:p>
    <w:p>
      <w:pPr>
        <w:pStyle w:val="311pt1"/>
        <w:rPr/>
      </w:pPr>
      <w:bookmarkStart w:id="45" w:name="_Toc288214537"/>
      <w:bookmarkEnd w:id="45"/>
      <w:r>
        <w:rPr/>
        <w:br/>
        <w:t>«Κατανομή των εδρών του περιφερειακού συμβουλίου ανά εκλογική περιφέρεια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138.</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138, αυτές του αφαιρούνται ανά μία ξεκινώντας από τη μονοεδρική εκλογική περιφέρεια στις οποίες ο συνδυασμός έλαβε τις λιγότερες ψήφους.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προηγούμενη παράγραφος.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Οι έδρες που κατανέμονται σε κάθε στάδιο, σύμφωνα με τις προηγούμενες παραγράφους,</w:t>
      </w:r>
      <w:r>
        <w:rPr>
          <w:rFonts w:cs="Arial" w:ascii="Book Antiqua" w:hAnsi="Book Antiqua"/>
          <w:color w:val="FF0000"/>
          <w:sz w:val="24"/>
          <w:szCs w:val="24"/>
        </w:rPr>
        <w:t xml:space="preserve"> </w:t>
      </w:r>
      <w:r>
        <w:rPr>
          <w:rFonts w:cs="Arial" w:ascii="Book Antiqua" w:hAnsi="Book Antiqua"/>
          <w:sz w:val="24"/>
          <w:szCs w:val="24"/>
        </w:rPr>
        <w:t>αφαιρούνται από τις διαθέσιμες της εκλογικής περιφέρειας».</w:t>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Τροποποίηση άρθρου 141 του ν. 3852/2010</w:t>
      </w:r>
    </w:p>
    <w:p>
      <w:pPr>
        <w:pStyle w:val="HTMLPreformatted"/>
        <w:numPr>
          <w:ilvl w:val="0"/>
          <w:numId w:val="69"/>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παρ. 3 του άρθρου 141 του ν. 3852/2010 αντικαθίσταται ως εξής: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περιφερειάρχης, το πρώτο εδάφιο της παρ. 2 του επόμενου άρθρου».</w:t>
      </w:r>
    </w:p>
    <w:p>
      <w:pPr>
        <w:pStyle w:val="HTMLPreformatted"/>
        <w:numPr>
          <w:ilvl w:val="0"/>
          <w:numId w:val="69"/>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παρ. 6 του άρθρου 141 του ν. 3852/2010 καταργείται.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59</w:t>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Τροποποίηση άρθρου 142 του ν. 3852/2010</w:t>
      </w:r>
    </w:p>
    <w:p>
      <w:pPr>
        <w:pStyle w:val="Normal"/>
        <w:spacing w:lineRule="auto" w:line="360"/>
        <w:rPr>
          <w:rFonts w:ascii="Book Antiqua" w:hAnsi="Book Antiqua"/>
          <w:sz w:val="24"/>
          <w:szCs w:val="24"/>
        </w:rPr>
      </w:pPr>
      <w:r>
        <w:rPr>
          <w:rFonts w:ascii="Book Antiqua" w:hAnsi="Book Antiqua"/>
          <w:sz w:val="24"/>
          <w:szCs w:val="24"/>
        </w:rPr>
        <w:t>Η παρ. 3 του άρθρου 142 του ν. 3852/2010 καταργείται.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60</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του άρθρου 143 του ν. 3852/2010</w:t>
      </w:r>
    </w:p>
    <w:p>
      <w:pPr>
        <w:pStyle w:val="Normal"/>
        <w:spacing w:lineRule="auto" w:line="360"/>
        <w:rPr>
          <w:rFonts w:ascii="Book Antiqua" w:hAnsi="Book Antiqua"/>
          <w:sz w:val="24"/>
          <w:szCs w:val="24"/>
        </w:rPr>
      </w:pPr>
      <w:r>
        <w:rPr>
          <w:rFonts w:ascii="Book Antiqua" w:hAnsi="Book Antiqua"/>
          <w:sz w:val="24"/>
          <w:szCs w:val="24"/>
        </w:rPr>
        <w:t>Το άρθρο 143 του ν. 3852/2010 καταργείται.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61</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146 του ν. 3852/2010</w:t>
      </w:r>
    </w:p>
    <w:p>
      <w:pPr>
        <w:pStyle w:val="Normal"/>
        <w:spacing w:lineRule="auto" w:line="360"/>
        <w:jc w:val="both"/>
        <w:rPr>
          <w:rFonts w:ascii="Book Antiqua" w:hAnsi="Book Antiqua"/>
          <w:sz w:val="24"/>
          <w:szCs w:val="24"/>
        </w:rPr>
      </w:pPr>
      <w:r>
        <w:rPr>
          <w:rFonts w:ascii="Book Antiqua" w:hAnsi="Book Antiqua"/>
          <w:sz w:val="24"/>
          <w:szCs w:val="24"/>
        </w:rPr>
        <w:t>Στο εδ. α’ της περ. α’ της παρ. 1 του άρθρου 146 του ν. 3852/2010, διαγράφονται οι λέξεις «τους αντιπεριφερειάρχες».</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62</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153 του ν. 3852/2010</w:t>
      </w:r>
    </w:p>
    <w:p>
      <w:pPr>
        <w:pStyle w:val="Normal"/>
        <w:numPr>
          <w:ilvl w:val="0"/>
          <w:numId w:val="109"/>
        </w:numPr>
        <w:spacing w:lineRule="auto" w:line="360"/>
        <w:rPr>
          <w:rFonts w:ascii="Book Antiqua" w:hAnsi="Book Antiqua"/>
          <w:sz w:val="24"/>
          <w:szCs w:val="24"/>
        </w:rPr>
      </w:pPr>
      <w:r>
        <w:rPr>
          <w:rFonts w:ascii="Book Antiqua" w:hAnsi="Book Antiqua"/>
          <w:sz w:val="24"/>
          <w:szCs w:val="24"/>
        </w:rPr>
        <w:t xml:space="preserve">Στο εδ. α’ της παρ. 2 του άρθρου 153 του ν. 3852/2010, οι λέξεις «Ο δήμαρχος» αντικαθίστανται από τις λέξεις «Ο περιφερειάρχης». </w:t>
      </w:r>
    </w:p>
    <w:p>
      <w:pPr>
        <w:pStyle w:val="Normal"/>
        <w:numPr>
          <w:ilvl w:val="0"/>
          <w:numId w:val="109"/>
        </w:numPr>
        <w:spacing w:lineRule="auto" w:line="360"/>
        <w:rPr>
          <w:rFonts w:ascii="Book Antiqua" w:hAnsi="Book Antiqua"/>
          <w:sz w:val="24"/>
          <w:szCs w:val="24"/>
        </w:rPr>
      </w:pPr>
      <w:r>
        <w:rPr>
          <w:rFonts w:ascii="Book Antiqua" w:hAnsi="Book Antiqua"/>
          <w:sz w:val="24"/>
          <w:szCs w:val="24"/>
        </w:rPr>
        <w:t>Στο εδ. β’ της παρ. 2 του άρθρου 153 του ν. 3852/2010 οι λέξεις «του δήμου»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63</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154 του ν. 3852/2010</w:t>
      </w:r>
    </w:p>
    <w:p>
      <w:pPr>
        <w:pStyle w:val="Normal"/>
        <w:spacing w:lineRule="auto" w:line="360"/>
        <w:jc w:val="both"/>
        <w:rPr>
          <w:rFonts w:ascii="Book Antiqua" w:hAnsi="Book Antiqua"/>
          <w:sz w:val="24"/>
          <w:szCs w:val="24"/>
        </w:rPr>
      </w:pPr>
      <w:r>
        <w:rPr>
          <w:rFonts w:ascii="Book Antiqua" w:hAnsi="Book Antiqua"/>
          <w:sz w:val="24"/>
          <w:szCs w:val="24"/>
        </w:rPr>
        <w:t>Στην παρ. 1 του άρθρου 154 του ν. 3852/2010, οι λέξεις «οι αντιπεριφερειάρχες των περιφερειακών ενοτήτων»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155 του ν. 3852/2010</w:t>
      </w:r>
    </w:p>
    <w:p>
      <w:pPr>
        <w:pStyle w:val="Normal"/>
        <w:spacing w:lineRule="auto" w:line="360"/>
        <w:jc w:val="both"/>
        <w:rPr>
          <w:rFonts w:ascii="Book Antiqua" w:hAnsi="Book Antiqua"/>
          <w:sz w:val="24"/>
          <w:szCs w:val="24"/>
        </w:rPr>
      </w:pPr>
      <w:r>
        <w:rPr>
          <w:rFonts w:ascii="Book Antiqua" w:hAnsi="Book Antiqua"/>
          <w:sz w:val="24"/>
          <w:szCs w:val="24"/>
        </w:rPr>
        <w:t>Στην παρ. 1 του άρθρου 155 του ν. 3852/2010, οι λέξεις «ή αντιπεριφερειάρχης περιφερειακής ενότητας»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65</w:t>
      </w:r>
    </w:p>
    <w:p>
      <w:pPr>
        <w:pStyle w:val="Normal"/>
        <w:spacing w:lineRule="auto" w:line="360"/>
        <w:jc w:val="center"/>
        <w:rPr>
          <w:rFonts w:ascii="Book Antiqua" w:hAnsi="Book Antiqua"/>
          <w:b/>
          <w:b/>
          <w:sz w:val="24"/>
          <w:szCs w:val="24"/>
        </w:rPr>
      </w:pPr>
      <w:r>
        <w:rPr>
          <w:rFonts w:ascii="Book Antiqua" w:hAnsi="Book Antiqua"/>
          <w:b/>
          <w:sz w:val="24"/>
          <w:szCs w:val="24"/>
        </w:rPr>
        <w:t>Παραίτηση αιρετών – Αντικατάσταση άρθρου 156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156 του ν. 3852/2010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«Παραίτηση αιρετών</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άλλη περίπτωση η παραίτηση των αιρετών των περιφερειών από τις θέσεις που κατέχουν, ως εκ της ιδιότητας τους, υποβάλλεται γραπτώς στα όργανα, τα οποία τους εξέλεξαν ή τους διόρισαν. Γίνεται οριστική την επομένη της κατάθεσής της στο πρωτόκολλο της οικείας υπηρεσίας.</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Άρθρο 66</w:t>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Τροποποίηση του άρθρου 158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Η παρ. 2 του άρθρου 158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«2. 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ΤΜΗΜΑ Γ’</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67</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Τελικές – Μεταβατικές διατάξεις Κεφαλαίου Γ’</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του Κεφαλαίου Γ’ ισχύουν από την έναρξη της επόμενης αυτοδιοικητικής περιόδου.</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των άρθρων 45 έως και 62 ισχύουν και για τις εκλογές για την ανάδειξη περιφερειακών αρχών της 13</w:t>
      </w:r>
      <w:r>
        <w:rPr>
          <w:rFonts w:cs="Arial" w:ascii="Book Antiqua" w:hAnsi="Book Antiqua"/>
          <w:sz w:val="24"/>
          <w:szCs w:val="24"/>
          <w:vertAlign w:val="superscript"/>
        </w:rPr>
        <w:t>ης</w:t>
      </w:r>
      <w:r>
        <w:rPr>
          <w:rFonts w:cs="Arial" w:ascii="Book Antiqua" w:hAnsi="Book Antiqua"/>
          <w:sz w:val="24"/>
          <w:szCs w:val="24"/>
        </w:rPr>
        <w:t xml:space="preserve"> και 20</w:t>
      </w:r>
      <w:r>
        <w:rPr>
          <w:rFonts w:cs="Arial" w:ascii="Book Antiqua" w:hAnsi="Book Antiqua"/>
          <w:sz w:val="24"/>
          <w:szCs w:val="24"/>
          <w:vertAlign w:val="superscript"/>
        </w:rPr>
        <w:t>ης</w:t>
      </w:r>
      <w:r>
        <w:rPr>
          <w:rFonts w:cs="Arial" w:ascii="Book Antiqua" w:hAnsi="Book Antiqua"/>
          <w:sz w:val="24"/>
          <w:szCs w:val="24"/>
        </w:rPr>
        <w:t xml:space="preserve"> Οκτωβρίου 2019. </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rPr>
      </w:pPr>
      <w:r>
        <w:rPr>
          <w:rFonts w:ascii="Book Antiqua" w:hAnsi="Book Antiqua"/>
          <w:b/>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ΚΕΦΑΛΑΙΟ Δ’</w:t>
      </w:r>
    </w:p>
    <w:p>
      <w:pPr>
        <w:pStyle w:val="11"/>
        <w:spacing w:lineRule="auto" w:line="360"/>
        <w:jc w:val="center"/>
        <w:rPr>
          <w:rFonts w:ascii="Book Antiqua" w:hAnsi="Book Antiqua"/>
          <w:b/>
          <w:b/>
          <w:sz w:val="24"/>
          <w:szCs w:val="24"/>
        </w:rPr>
      </w:pPr>
      <w:r>
        <w:rPr>
          <w:rFonts w:ascii="Book Antiqua" w:hAnsi="Book Antiqua"/>
          <w:b/>
          <w:sz w:val="24"/>
          <w:szCs w:val="24"/>
        </w:rPr>
        <w:t>ΣΥΣΤΗΜΑ ΔΙΑΚΥΒΕΡΝΗΣΗΣ ΔΗΜΩΝ - ΚΟΙΝΟΤΗΤΩΝ</w:t>
      </w:r>
    </w:p>
    <w:p>
      <w:pPr>
        <w:pStyle w:val="11"/>
        <w:spacing w:lineRule="auto" w:line="36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ΤΜΗΜΑ Α’</w:t>
      </w:r>
    </w:p>
    <w:p>
      <w:pPr>
        <w:pStyle w:val="11"/>
        <w:spacing w:lineRule="auto" w:line="360"/>
        <w:jc w:val="center"/>
        <w:rPr>
          <w:rFonts w:ascii="Book Antiqua" w:hAnsi="Book Antiqua"/>
          <w:b/>
          <w:b/>
          <w:sz w:val="24"/>
          <w:szCs w:val="24"/>
        </w:rPr>
      </w:pPr>
      <w:r>
        <w:rPr>
          <w:rFonts w:ascii="Book Antiqua" w:hAnsi="Book Antiqua"/>
          <w:b/>
          <w:sz w:val="24"/>
          <w:szCs w:val="24"/>
        </w:rPr>
        <w:t>ΣΥΣΤΗΜΑ ΔΙΟΙΚΗΣΗΣ ΔΗΜΩΝ</w:t>
      </w:r>
    </w:p>
    <w:p>
      <w:pPr>
        <w:pStyle w:val="11"/>
        <w:spacing w:lineRule="auto" w:line="360"/>
        <w:jc w:val="center"/>
        <w:rPr>
          <w:rFonts w:ascii="Book Antiqua" w:hAnsi="Book Antiqua"/>
          <w:b/>
          <w:b/>
          <w:sz w:val="24"/>
          <w:szCs w:val="24"/>
        </w:rPr>
      </w:pPr>
      <w:r>
        <w:rPr>
          <w:rFonts w:ascii="Book Antiqua" w:hAnsi="Book Antiqua"/>
          <w:b/>
          <w:sz w:val="24"/>
          <w:szCs w:val="24"/>
        </w:rPr>
      </w:r>
    </w:p>
    <w:p>
      <w:pPr>
        <w:pStyle w:val="NoSpacing1"/>
        <w:spacing w:lineRule="auto" w:line="360"/>
        <w:jc w:val="center"/>
        <w:rPr>
          <w:rFonts w:ascii="Book Antiqua" w:hAnsi="Book Antiqua"/>
          <w:b/>
          <w:b/>
          <w:sz w:val="24"/>
          <w:szCs w:val="24"/>
        </w:rPr>
      </w:pPr>
      <w:r>
        <w:rPr>
          <w:rFonts w:ascii="Book Antiqua" w:hAnsi="Book Antiqua"/>
          <w:b/>
          <w:sz w:val="24"/>
          <w:szCs w:val="24"/>
        </w:rPr>
        <w:t>Άρθρο 68</w:t>
      </w:r>
    </w:p>
    <w:p>
      <w:pPr>
        <w:pStyle w:val="NoSpacing1"/>
        <w:spacing w:lineRule="auto" w:line="360"/>
        <w:jc w:val="center"/>
        <w:rPr>
          <w:rFonts w:ascii="Book Antiqua" w:hAnsi="Book Antiqua"/>
          <w:b/>
          <w:b/>
          <w:sz w:val="24"/>
          <w:szCs w:val="24"/>
        </w:rPr>
      </w:pPr>
      <w:r>
        <w:rPr>
          <w:rFonts w:ascii="Book Antiqua" w:hAnsi="Book Antiqua"/>
          <w:b/>
          <w:sz w:val="24"/>
          <w:szCs w:val="24"/>
        </w:rPr>
        <w:t>Αντιδήμαρχοι – Αντικατάσταση άρθρου 59 τ0υ ν. 3852/2010</w:t>
      </w:r>
    </w:p>
    <w:p>
      <w:pPr>
        <w:pStyle w:val="NoSpacing1"/>
        <w:spacing w:lineRule="auto" w:line="360"/>
        <w:ind w:firstLine="720"/>
        <w:jc w:val="both"/>
        <w:rPr>
          <w:rFonts w:ascii="Book Antiqua" w:hAnsi="Book Antiqua"/>
          <w:sz w:val="24"/>
          <w:szCs w:val="24"/>
        </w:rPr>
      </w:pPr>
      <w:r>
        <w:rPr>
          <w:rFonts w:ascii="Book Antiqua" w:hAnsi="Book Antiqua"/>
          <w:sz w:val="24"/>
          <w:szCs w:val="24"/>
        </w:rPr>
        <w:t>Το άρθρο 59 του ν. 3852/2010 αντικαθίσταται ως εξής :</w:t>
      </w:r>
    </w:p>
    <w:p>
      <w:pPr>
        <w:pStyle w:val="NoSpacing1"/>
        <w:spacing w:lineRule="auto" w:line="360"/>
        <w:jc w:val="center"/>
        <w:rPr>
          <w:rFonts w:ascii="Book Antiqua" w:hAnsi="Book Antiqua"/>
          <w:b/>
          <w:b/>
          <w:sz w:val="24"/>
          <w:szCs w:val="24"/>
        </w:rPr>
      </w:pPr>
      <w:r>
        <w:rPr>
          <w:rFonts w:ascii="Book Antiqua" w:hAnsi="Book Antiqua"/>
          <w:b/>
          <w:sz w:val="24"/>
          <w:szCs w:val="24"/>
        </w:rPr>
      </w:r>
    </w:p>
    <w:p>
      <w:pPr>
        <w:pStyle w:val="NoSpacing1"/>
        <w:spacing w:lineRule="auto" w:line="360"/>
        <w:jc w:val="center"/>
        <w:rPr>
          <w:rFonts w:ascii="Book Antiqua" w:hAnsi="Book Antiqua"/>
          <w:sz w:val="24"/>
          <w:szCs w:val="24"/>
        </w:rPr>
      </w:pPr>
      <w:r>
        <w:rPr>
          <w:rFonts w:ascii="Book Antiqua" w:hAnsi="Book Antiqua"/>
          <w:sz w:val="24"/>
          <w:szCs w:val="24"/>
        </w:rPr>
        <w:t>«Αντιδήμαρχοι</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Το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 1 του άρθρου 2.</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Ο αριθμός των αντιδημάρχων στους δήμους που προέρχονται από συνένωση κατά τον παρόντα νόμο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Ο αριθμός των αντιδημάρχων στους δήμους που δεν προέρχονται από συνένωση Ο.Τ.Α. κατά τον παρόντα νόμο ορίζεται ως εξής: Σε δήμους με πληθυσμό έως δύο χιλιάδες (2.000) κατοίκους ορίζεται ένας (1) αντιδήμαρχος. Στους δήμους με πληθυσμό από δύο χιλιάδες έναν (2.001) έως δέκα χιλιάδες (10.000) κατοίκους ορίζονται έως δύο (2) αντιδήμαρχοι. Στους δήμους με πληθυσμό από δέκα χιλιάδες έναν (10.001) έως είκοσι χιλιάδες (20.000) κατοίκους ορίζονται έως τρεις (3) αντιδήμαρχοι. Από είκοσι χιλιάδες έναν (20.001) έως σαράντα χιλιάδες (40.000) κατοίκους ορίζονται έως τέσσερις (4) αντιδήμαρχοι. Στους δήμους με πληθυσμό σαράντα χιλιάδες έναν (40.001) κατοίκους έως εκατό χιλιάδες (100.000) ορίζονται έως πέντε (5) αντιδήμαρχοι. Στους δήμους με πληθυσμό εκτατό χιλιάδες έναν (100.001) κατοίκους και άνω που διαιρούνται σε δημοτικές κοινότητες ο αριθμός των αντιδημάρχων είναι ίσος με τον αριθμό των δημοτικών κοινοτήτων και μπορεί να αυξηθεί κατά τρεις (3).</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Στους αντιδημάρχους, εκτός των καθ’ ύλην αρμοδιοτήτων, ο δήμαρχος μπορεί να μεταβιβάζει και τις ακόλουθες κατά τόπον αρμοδιότητες :</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α) Έχουν την ευθύνη της λειτουργίας των δημοτικών υπηρεσιών που είναι εγκατεστημένες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β) Παρακολουθούν την εξέλιξη των έργων και των εργασιών που εκτελούνται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γ) Μεριμνούν για την καλή κατάσταση και λειτουργία του εξοπλισμού που βρίσκεται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δ) Υπογράφουν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της δημοτικής ενότητας.</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ε) Συνεργάζονται με τους προέδρους των κοινοτήτων για την επίλυση των προβλημάτων τους.</w:t>
      </w:r>
    </w:p>
    <w:p>
      <w:pPr>
        <w:pStyle w:val="NoSpacing1"/>
        <w:spacing w:lineRule="auto" w:line="360"/>
        <w:ind w:left="720" w:hanging="0"/>
        <w:jc w:val="both"/>
        <w:rPr>
          <w:rFonts w:ascii="Book Antiqua" w:hAnsi="Book Antiqua"/>
          <w:sz w:val="24"/>
          <w:szCs w:val="24"/>
        </w:rPr>
      </w:pPr>
      <w:r>
        <w:rPr>
          <w:rFonts w:ascii="Book Antiqua" w:hAnsi="Book Antiqua"/>
          <w:sz w:val="24"/>
          <w:szCs w:val="24"/>
        </w:rPr>
        <w:t>στ) Ασκούν κάθε άλλη αρμοδιότητα που μπορεί να τους μεταβιβάζει με απόφαση του ο δήμαρχος, που αφορά τη δημοτική ενότητα.</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 xml:space="preserve">Κατά τη διάρκεια της θητείας τους, οι αντιδήμαρχοι δεν μπορούν να εκλεγούν μέλη του προεδρείου του δημοτικού συμβουλίου. </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Η απόφαση του δημάρχου με την οποία ορίζονται οι αντιδήμαρχοι και τους μεταβιβάζονται αρμοδιότητες, κατά την παράγραφο 1, δημοσιεύεται σε μία τουλάχιστον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Αν ο αντιδήμαρχος απουσιάζει ή κωλύεται, τις αρμοδιότητες του ασκεί άλλος αντιδήμαρχος που ορίζεται από τον δήμαρχο ή ο ίδιος ο δήμαρχος».</w:t>
      </w:r>
    </w:p>
    <w:p>
      <w:pPr>
        <w:pStyle w:val="NoSpacing1"/>
        <w:spacing w:lineRule="auto" w:line="360"/>
        <w:jc w:val="both"/>
        <w:rPr>
          <w:rFonts w:ascii="Book Antiqua" w:hAnsi="Book Antiqua"/>
          <w:sz w:val="24"/>
          <w:szCs w:val="24"/>
        </w:rPr>
      </w:pPr>
      <w:r>
        <w:rPr>
          <w:rFonts w:ascii="Book Antiqua" w:hAnsi="Book Antiqua"/>
          <w:sz w:val="24"/>
          <w:szCs w:val="24"/>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69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Εκλογή νέου δημάρχου – Αντικατάσταση άρθρου 60 του ν. 3852/2010</w:t>
      </w:r>
    </w:p>
    <w:p>
      <w:pPr>
        <w:pStyle w:val="NoSpacing1"/>
        <w:spacing w:lineRule="auto" w:line="360"/>
        <w:ind w:firstLine="720"/>
        <w:jc w:val="both"/>
        <w:rPr>
          <w:rFonts w:ascii="Book Antiqua" w:hAnsi="Book Antiqua"/>
          <w:sz w:val="24"/>
          <w:szCs w:val="24"/>
          <w:lang w:eastAsia="el-GR"/>
        </w:rPr>
      </w:pPr>
      <w:r>
        <w:rPr>
          <w:rFonts w:ascii="Book Antiqua" w:hAnsi="Book Antiqua"/>
          <w:sz w:val="24"/>
          <w:szCs w:val="24"/>
          <w:lang w:eastAsia="el-GR"/>
        </w:rPr>
        <w:t>Το άρθρο 60 του ν. 3852/2010 αντικαθίσταται ως εξής :</w:t>
      </w:r>
    </w:p>
    <w:p>
      <w:pPr>
        <w:pStyle w:val="NoSpacing1"/>
        <w:spacing w:lineRule="auto" w:line="360"/>
        <w:ind w:firstLine="72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ind w:firstLine="720"/>
        <w:jc w:val="center"/>
        <w:rPr>
          <w:rFonts w:ascii="Book Antiqua" w:hAnsi="Book Antiqua"/>
          <w:sz w:val="24"/>
          <w:szCs w:val="24"/>
          <w:lang w:eastAsia="el-GR"/>
        </w:rPr>
      </w:pPr>
      <w:r>
        <w:rPr>
          <w:rFonts w:ascii="Book Antiqua" w:hAnsi="Book Antiqua"/>
          <w:sz w:val="24"/>
          <w:szCs w:val="24"/>
          <w:lang w:eastAsia="el-GR"/>
        </w:rPr>
        <w:t>«Εκλογή νέου δημάρχου</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δημάρχου μείνει κενή για οποιονδήποτε λόγο, μέσα σε προθεσμία δεκαπέντε (15) ημερών αφότου κενώθηκε η θέση, το δημοτικό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δήμαρχο. Η πρόσκληση επιδίδεται με οποιοδήποτε δημόσιο όργανο ή όργανο του δήμου, ακόμη και την παραμονή της συνεδριάσεως.</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ύστερα από δύο διαδοχικές ψηφοφορίες κανείς δεν συγκεντρώσει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και στη δεύτερη συνεδρίαση δεν επιτευχθεί εκλογή ή η συνεδρίαση ματαιωθεί, επειδή δεν υπήρξε απαρτία, διενεργείται τρίτη συνεδρίαση κατά την οποία εκλέγεται αυτός που θα λάβει το μεγαλύτερο αριθμό ψήφων και σε περίπτωση ισοψηφίας διενεργείται κλήρωση.</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Κάθε απόφαση σχετική με την εκλογή του δημάρχου υποβάλλεται μέσα σε προθεσμία δύο (2) ημερών στον Επόπτη ΟΤΑ, ο οποίος αυτεπαγγέλτως ή ύστερα από προσφυγή ενός δημότη δήμου ελέγχει τη νομιμότητα της και εκδίδει απόφαση μέσα σε πέντε (5) ημέρες το αργότερο, αφότου την έλαβε. Αν ο Επόπτης ακυρώσει την εκλογή του δημάρχου, το δημοτικό συμβούλιο συνέρχεται πάλι για να εκλέξει τον δήμαρχο πέντε (5) ημέρες μετά την περιέλευση της ακυρωτικής αποφάσεως στο δήμο.</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εγκατάσταση τους και μέχρι να εκλεγεί νέος δήμαρχος, σύμφωνα με τις διατάξεις των παραγράφων 1 έως και 4, τα καθήκοντα του εκτελεί,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 όλες τις προαναφερόμενες περιπτώσεις της παρούσας παραγράφου ο Επόπτης ΟΤΑ εκδίδει διαπιστωτική πράξη.»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70</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Τροποποίηση του άρθρου 62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τρίτο εδάφιο της παρ. 2 του άρθρου 62 του ν. 3852/2010 αντικαθίσταται ως εξής: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«Στις συνεδριάσεις καλείται υποχρεωτικά ο πρόεδρος του συμβουλίου της κοινότητας με πληθυσμό άνω των πεντακοσίων (500) κατοίκων ή ο πρόεδρος της κοινότητας με πληθυσμό έως πεντακοσίων (500) κατοίκων, όταν συζητούνται θέματα που την αφορούν ειδικά, καθώς και οι πρόεδροι των νομικών προσώπων του δήμου και άλλοι υπηρεσιακοί παράγοντες, όποτε τούτο κρίνεται αναγκαίο».</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71</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Εκλογή προεδρείου δημοτικού συμβουλίου – Αντικατάσταση άρθρου 64 του ν. 3852/2010</w:t>
      </w:r>
    </w:p>
    <w:p>
      <w:pPr>
        <w:pStyle w:val="NoSpacing1"/>
        <w:spacing w:lineRule="auto" w:line="360"/>
        <w:jc w:val="both"/>
        <w:rPr>
          <w:rFonts w:ascii="Book Antiqua" w:hAnsi="Book Antiqua"/>
          <w:b/>
          <w:b/>
          <w:sz w:val="24"/>
          <w:szCs w:val="24"/>
          <w:lang w:eastAsia="el-GR"/>
        </w:rPr>
      </w:pPr>
      <w:r>
        <w:rPr>
          <w:rFonts w:ascii="Book Antiqua" w:hAnsi="Book Antiqua"/>
          <w:sz w:val="24"/>
          <w:szCs w:val="24"/>
          <w:lang w:eastAsia="el-GR"/>
        </w:rPr>
        <w:t>Το άρθρο 64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«Εκλογή προεδρείου δημοτικού συμβουλίου </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δημοτικού συμβουλίου αναδεικνύεται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δημοτικού συμβουλίου συγκροτείται από τον πρόεδρο, τον αντιπρόεδρο και τον γραμματέα, ως εξής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Ο πρόεδρος προέρχεται από την παράταξη του εκλεγέντος δημάρχου, είτε αναδείχθηκε πρώτη είτε δεύτερη σε εκλογική δύναμη.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δήμαρχο.</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Ο γραμματέας προέρχεται από την τρίτη σε εκλογική δύναμη παράταξη. Σε περίπτωση που δεν υπάρχουν άλλες παρατάξεις, πλην αυτών των περ. α’ και β’, ο γραμματέας προέρχεται από την παράταξη της περ. α’.</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β) Έπειτα καλούνται οι δημοτικοί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δημοτικού συμβουλίου, με την ίδια διαδικασία.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Εν συνεχεία καλούνται οι δημοτικοί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δημοτικού συμβουλίου, με την ίδια διαδικασία.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περ. 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 με ψηφοφορία την εκλογή του υποδειχθέντος υποψηφίου για κάθε αξίωμα.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δημοτικού συμβουλίου.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Ιανουαρίου του έτους έναρξης της δημοτικής περιόδου, στις 10:00 π.μ.,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π.μ., στη αίθουσα συνεδριάσεων του δημοτικού συμβουλίου. Αν ο σύμβουλος του επιτυχόντος συνδυασμού που πλειοψήφησε απουσιάζει, τον αντικαθιστά ένας σύμβουλος του ίδιου συνδυασμού, κατά τη σειρά της επιτυχίας που προκύπτει από την απόφαση του δικαστηρίου.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μετά την αποδοχή της παραίτησης, προβαίνει, κατά περίπτωση, στην εκλογή νέου προέδρου, αντιπροέδρου ή γραμματέα.</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72</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Η παρ. 6 του  άρθρου 65 του ν. 3852/2010 αντικαθίσταται ως εξής: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Δημοτικές παρατάξεις – Αντικατάσταση άρθρου 66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66 του ν. 3852/2010 αντικαθίσταται ως εξής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«Δημοτικές παρατάξεις </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Οι δημοτικοί σύμβουλοι έχουν απεριόριστο το δικαίωμα της γνώμης και της ψήφου κατά συνείδηση.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Τα μέλη του δημοτικού συμβουλίου ανήκουν σε δημοτικές παρατάξεις, ανάλογα με το συνδυασμό με τον οποίο έχουν εκλεγεί.</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εκλέγεται από την πλειοψηφία των δημοτικών συμβούλων που ανήκουν στην παράταξη.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Μέλος του δημοτικού συμβουλίου που ανεξαρτητοποιήθηκε ή διαγράφηκε από την παράταξη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Μέλη του δημοτικού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δημοτικού συμβουλίου και υπογράφεται από το σύνολο των μελών που θα απαρτίζουν τη νέα παράταξη.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συνενούμενων παρατάξεων.</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74</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Σύγκληση δημοτικού συμβουλίου – Αντικατάσταση άρθρου 67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67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«Σύγκληση του δημοτικού συμβουλίου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3/5 του συνολικού αριθμού των μελών του, η οποία αιτιολογείται ειδικά και απαγγέλλεται σε δημόσια συνεδρίαση, ότι η συνεδρίαση πρέπει να διεξαχθεί κεκλεισμένων των θυρών.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δημοσιεύεται αυθημερόν στην ιστοσελίδα του δήμου. Η πρόσκληση επιδίδεται ή γνωστοποιείται στους συμβούλους τρεις (3) τουλάχιστον πλήρεις ημέρες πριν από την ημέρα που ορίζεται για τη συνεδρίαση.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θεμάτων, γνωστοποιούνται έγκυρα με οποιονδήποτε από τους παραπάνω τρόπους.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του δημοτικού συμβουλίου προσκαλούνται και οι πρόεδροι των συμβουλίων των κοινοτήτων ή οι πρόεδροι των κοινοτήτων, οι οποίοι δικαιούνται να λαμβάνουν το λόγο. Για θέματα που αφορούν ειδικά την αντίστοιχη κοινότητα, τα ανωτέρω πρόσωπα μετέχουν στη συζήτηση με δικαίωμα ψήφου. </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 όσον το ζητήσουν.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Αν κάποιο μέλος του δημοτικού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τηρούνται πρακτικά.</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Υπουργού Εσωτερικών μετά από πρόταση της Κεντρικής Ένωσης Δήμων Ελλάδας, εκδίδεται πρότυπος κανονισμός λειτουργίας του δημοτικού συμβουλίου, ο οποίος δημοσιεύεται στην Εφημερίδα της Κυβερνήσεως.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75</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Επιτροπές του δημοτικού συμβουλίου – Αντικατάσταση άρθρου 70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70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«Επιτροπές του δημοτικού συμβουλίου</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δημοτικού συμβουλίου, με απόφασή του, μπορεί να συγκροτεί επιτροπές για την επεξεργασία και εισήγηση στο δημοτικό συμβούλιο θεμάτων της αρμοδιότητας του.</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76</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74 του ν. 3852/2010, αντικαθίσταται ως εξής :</w:t>
      </w:r>
    </w:p>
    <w:p>
      <w:pPr>
        <w:pStyle w:val="NoSpacing1"/>
        <w:spacing w:lineRule="auto" w:line="360"/>
        <w:jc w:val="both"/>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«Συγκρότηση και Εκλογή Οικονομικής Επιτροπής και Επιτροπής Ποιότητας Ζωής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Η οικονομική επιτροπή και η επιτροπή ποιότητας ζωής αποτελούνται από τον δήμαρχο ή τον οριζόμενο από αυτόν αντιδήμαρχο ως πρόεδρο, από έναν ακόμη αντιδήμαρχο ως μέλος οριζόμενο από το δήμαρχο και από έξι (6) μέλη, αν το συμβούλιο 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 1 του άρθρου 64 του παρόντος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Πρώτα εκλέγονται τα μέλη της οικονομικής επιτροπής και στη συνέχεια τα μέλη της επιτροπής ποιότητας ζωής. Δεν επιτρέπεται να εκλεγεί μέλος της οικονομικής ή της επιτροπής ποιότητας ζωής ο πρόεδρος του δημοτικού συμβουλίου.</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Κάθε σύμβουλος ψηφίζει υποψήφιους σε αριθμό ίσο με το 50% των μελών της αντίστοιχης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για την οικονομική επιτροπή και, αντιστοίχως, για την επιτροπή ποιότητας ζωής, ισάριθμα με τα τακτικά, αναπληρωματικά μέλη. Με την ίδια διαδικασία εκλέγονται νέα αναπληρωματικά μέλη σε περίπτωση που έχει εξαντληθεί ο αριθμός αυτών.</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Ελεγκτή Νομιμότητας,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Τα αναπληρωματικά μέλη, με τη σειρά της εκλογής τους, παίρνουν τις θέσεις των τακτικών μελών που μένουν κενές κατά τη διάρκεια της διετίας.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Όταν τα μέλη της οικονομικής επιτροπής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 επιτροπή ή την επιτροπή ποιότητας ζωής και αντικαθίστανται, σύμφωνα με τη διαδικασία του άρθρου αυτού».</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77</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75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w:t>
      </w:r>
      <w:r>
        <w:rPr>
          <w:rFonts w:ascii="Book Antiqua" w:hAnsi="Book Antiqua"/>
          <w:sz w:val="24"/>
          <w:szCs w:val="24"/>
          <w:lang w:eastAsia="el-GR"/>
        </w:rPr>
        <w:t>Λειτουργία της Οικονομικής Επιτροπής και της Επιτροπής Ποιότητας Ζωής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απουσιάζει ή κωλύεται ο πρόεδρος της επιτροπής, προεδρεύει ο αντιπρόεδρος και, σε περίπτωση απουσίας ή κωλύματος του αντιπροέδρου, το μέλος της πλειοψηφίας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αδικαιολόγητη παράλειψη του προέδρου για δύο συνεχείς φορές να καλέσει την οικονομική ή την επιτροπή ποιότητας ζωής αποτελεί σοβαρή παράβαση καθήκοντος.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δημοσιεύεται στην ιστοσελίδα του δήμου. Η πρόσκληση επιδίδεται ή γνωστοποιείται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οίκημα της έδρας, αν κρίνει ότι το δημοτικό κατάστημα είναι ακατάλληλο.</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των επιτροπών προσκαλούνται και οι πρόεδροι των κοινοτήτων ή των συμβουλίων κοινοτήτων, οι οποίοι δικαιούνται να λαμβάνουν το λόγο. </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 όσον το ζητήσουν. </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Απόφαση που έχει ληφθεί κατά παράβαση της διάταξης αυτής είναι άκυρη. Το μέλος που έλαβε μέρος στη συνεδρίαση διαπράττει σοβαρή παράβαση καθήκοντος και τιμωρείται με την ποινή της αργίας.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δήμου με ευθύνη του προέδρου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78</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Δημοτική Επιτροπής Διαβούλευσης – Αντικατάσταση άρθρου 76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76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«Δημοτική Επιτροπή Διαβούλευσης </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Στους δήμους με πληθυσμό μεγαλύτερο από πέντε χιλιάδες (5.000)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ακολουθεί τη θητεία των δημοτικών αρχών. 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των τοπικών εμπορικών και επαγγελματικών συλλόγων και οργανώσεων,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των επιστημονικών συλλόγων και φορέων,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των τοπικών οργανώσεων εργαζομένων και εργοδοτών,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των εργαζομένων στο δήμο και τα νομικά του πρόσωπα,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των ενώσεων και συλλόγων γονέων,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των αθλητικών και πολιτιστικών συλλόγων και φορέων,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των εθελοντικών οργανώσεων και κινήσεων πολιτών,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άλλων οργανώσεων και φορέων της κοινωνίας των πολιτών και</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των τοπικών συμβουλίων νέων.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δημότες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pPr>
        <w:pStyle w:val="NoSpacing1"/>
        <w:spacing w:lineRule="auto" w:line="360"/>
        <w:ind w:left="1134" w:hanging="0"/>
        <w:jc w:val="both"/>
        <w:rPr>
          <w:rFonts w:ascii="Book Antiqua" w:hAnsi="Book Antiqua"/>
          <w:sz w:val="24"/>
          <w:szCs w:val="24"/>
          <w:lang w:eastAsia="el-GR"/>
        </w:rPr>
      </w:pPr>
      <w:r>
        <w:rPr>
          <w:rFonts w:ascii="Book Antiqua" w:hAnsi="Book Antiqua"/>
          <w:sz w:val="24"/>
          <w:szCs w:val="24"/>
          <w:lang w:eastAsia="el-GR"/>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και οι πρόεδροι των κοινοτήτων του δήμου,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δημοτική επιτροπή διαβούλευσης: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Γνωμοδοτεί για θέματα γενικότερου τοπικού ενδιαφέροντος, που παραπέμπονται σε αυτή από το δημοτικό συμβούλιο ή τον δήμαρχο.</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συνεδρίαση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Μπορεί να εισηγείται στο δημοτικό συμβούλιο τη διεξαγωγή δημοτικού δημοψηφίσματος.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στ) Διατυπώνει απλή γνώμη επί του προσχεδίου του προϋπολογισμού, σύμφωνα με την παρ. 5 του άρθρου 77 του ν. 4172/2013 (Α’ 167). </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περ. α’ έως θ’ της παρ. 1 είτε από το 50% συν έναν από τους δημότες που συμμετέχουν στην επιτροπή σύμφωνα με την περ. ι’ της παρ.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εισήγηση της αναγράφονται όλες οι γνώμες που διατυπώνονται.</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και η ημερήσια διάταξη κάθε συνεδρίασης της δημοτικής επιτροπής διαβούλευσης αναρτώνται στην ιστοσελίδα του δήμου και, με μέριμνα του προέδρου του δημοτικού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της επιτροπής διαβούλευσης αναρτώνται υποχρεωτικά στην ιστοσελίδα του δήμου και εισάγονται υποχρεωτικά προς συζήτηση στο δημοτικό συμβούλιο εντός ενός (1) μήνα από τη λήψη τους.</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Το δημοτικό συμβούλιο, εντός τριών (3) μηνών από την εγκατάσταση των δημοτικών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του δήμου, που δεν ρυθμίζονται στο παρόν».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Συμβούλιο Ένταξης Μεταναστών και Προσφύγων – Αντικατάσταση άρθρου 78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78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«Συμβούλιο Ένταξης Μεταναστών και Προσφύγων</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πέντε (5) έως έντεκα (11) μέλη, τα οποία ορίζονται από το οικείο δημοτικό συμβούλιο. Ως μέλη ορίζονται δημοτικοί σύμβουλοι, εκπρόσωποι οργανώσεων της κοινωνίας των πολιτών που δραστηριοποιούνται σε θέματα υποστήριξης και ένταξης μεταναστών και προσφύγων, καθώς και εκπρόσωποι που επιλέγονται από τους μετανάστες και πρόσφυγες που κατοικούν μόνιμα στον οικείο δήμο. Οι όροι και η διαδικασία ανάδειξης των εκπροσώπων των μεταναστών και προσφύγων μπορούν να καθορίζονται με κοινή απόφαση των Υπουργών Εσωτερικών και Μεταναστευτικής Πολιτικής. Με την ίδια απόφαση ορίζεται πρόεδρος στο Συμβούλιο Ένταξης Μεταναστών και Προσφύγων ένας εκ των δημοτικών συμβούλων μελών του. Στα παραπάνω συμβούλια ορίζονται υποχρεωτικά ως μέλη αλλοδαποί δημοτικοί σύμβουλοι που έχουν τυχόν εκλεγεί. Η συμμετοχή στα ανωτέρω συμβούλια είναι τιμητική και άμισθη.</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Έργο των συμβουλίων ένταξης μεταναστών και προσφύγων είναι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ένταξη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του συμβουλίου καλείται υποχρεωτικά ο δήμαρχος ή ο αντιδήμαρχος στον οποίο έχουν ανατεθεί οι αρμοδιότητες κοινωνικής πολιτικής, ενώ είναι δυνατόν να καλούνται οι εκπρόσωποι των κατά περίπτωση αρμόδιων κρατικών φορέων». </w:t>
      </w:r>
    </w:p>
    <w:p>
      <w:pPr>
        <w:pStyle w:val="11"/>
        <w:spacing w:lineRule="auto" w:line="360"/>
        <w:jc w:val="center"/>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ΤΜΗΜΑ Β’</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ΔΙΟΙΚΗΣΗ ΚΟΙΝΟΤΗΤΩΝ</w:t>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80</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Πρόεδρος συμβουλίου κοινότητας άνω των 500 κατοίκων – Αντικατάσταση άρθρου 79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79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«Πρόεδρος συμβουλίου κοινότητας άνω των πεντακοσίων (500) κατοίκων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άνω των πεντακοσίων (500) κατοίκων εκλέγεται από το σύνολο των μελών του οικείου συμβουλίου, για το σύνολο της δημοτικής περιόδου, με τη διαδικασία της επόμενης παραγράφου.</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Κατά τη συνεδρίαση κατατίθενται υποψηφιότητες για το αξίωμα του προέδρου της κοινότητας από τα μέλη του συμβουλίου. Οι υποψηφιότητες τίθενται σε μυστική ψηφοφορία μεταξύ του συνόλου των μελών του συμβουλίου, τα οποία έχουν δικαίωμα να επιλέξουν έναν μόνο υποψήφιο πρόεδρο. Πρόεδρος εκλέγεται εκείνος που θα συγκεντρώσει την απόλυτη πλειοψηφία του συνόλου των μελών του συμβουλίου. Αν δεν επιτευχθεί η απαιτούμενη πλειοψηφία, η ψηφοφορία επαναλαμβάνεται στην ίδια συνεδρίαση και με την ίδια διαδικασία και πλειοψηφία. Αν και κατά τη δεύτερη ψηφοφορία δεν επιτευχθεί η απαιτούμενη πλειοψηφία, επαναλαμβάνεται η ψηφοφορία μεταξύ των δύο υποψηφίων που συγκέντρωσαν τις περισσότερες ψήφους και εκλέγεται εκείνος που θα συγκεντρώσει την πλειοψηφία των ψηφισάντων.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Όταν ο πρόεδρος απουσιάζει ή κωλύεται, τα καθήκοντα του ασκεί μέλος του συμβουλίου της δημοτικής κοινότητας, που ορίζεται από αυτόν, ως αναπληρωτής του.</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και τα μέλη του συμβουλίου της δημοτικής κοινότητας μπορούν, με γραπτή δήλωση τους προς τον Δήμαρχο, να ανεξαρτητοποιηθούν από το συνδυασμό με τον οποίο έχουν εκλεγεί. Οι ανωτέρω είναι δυνατόν να διαγραφούν με αιτιολογημένη απόφαση που λαμβάνεται με την πλειοψηφία των 2/3, η οποία υπολογίζεται επί του συνολικού αριθμού των δημοτικών συμβούλων και συμβούλων δημοτικής κοινότητας στην οποία είναι μέλος ο διαγραφείς.</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μπορεί να ανακληθεί από τα καθήκοντά του, εφ’ όσον υποβληθεί εις βάρος του πρόταση μομφής από τουλάχιστον το ένα τρίτο (1/3) των μελών του συμβουλίου και γίνει αποδεκτή από τα δύο τρίτα (2/3) των μελών, σε μυστική ψηφοφορία.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κατά τον υπολογισμό του ενός τρίτου (1/3) και των δύο τρίτων (2/3)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πρόταση μομφής υποβάλλεται εγγράφως κατά τη διάρκεια συνεδρίασης του συμβουλίου και καταχωρείται στα πρακτικά. Αν η πρόταση υποβληθεί από τον απαιτούμενο αριθμό μελών, η συνεδρίαση διακόπτεται υποχρεωτικά, προκειμένου να γίνει η ψηφοφορία επί της πρότασης. Αν η πρόταση μομφής υπερψηφιστεί από τον απαιτούμενο αριθμό συμβούλων, στην ίδια συνεδρίαση πραγματοποιείται η εκλογή νέου προέδρου, με τη διαδικασία των προηγούμενων παραγράφων. Ο ανακληθείς μπορεί να θέσει εκ νέου υποψηφιότητα για το ίδιο αξίωμα.</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προέδρου του συμβουλίου της δημοτικής κοινότητας κενωθεί λόγω θανάτου ή παραίτησης ή έκπτωσης από το αξίωμα ή ανάκλησης ή εξαιτίας οποιουδήποτε άλλου λόγου, επαναλαμβάνεται η διαδικασία εκλογής των προηγούμενων παραγράφων.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Στον πρόεδρο συμβουλίου κοινότητας άνω των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81</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Πρόεδρος κοινότητας έως και 500 κατοίκων – Αντικατάσταση άρθρου 80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80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«Πρόεδρος κοινότητας έως και πεντακοσίων (500) κατοίκων </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Πρόεδρος κοινότητας έως και πεντακοσίων (500) κατοίκων είναι ο επιτυχών υποψήφιος, σύμφωνα με το άρθρο 31 του παρόντος.</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προέδρου κοινότητας έως και πεντακοσίων (500) κατοίκων κενωθεί λόγω θανάτου ή παραίτησης ή έκπτωσης από το αξίωμα ή εξαιτίας οποιουδήποτε άλλου λόγου, τη θέση του καταλαμβάνει ο επόμενος σε σταυρούς προτίμησης στην κοινότητα.</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Στον πρόεδρο της κοινότητας έως και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82</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προέδρου συμβουλίου κοινότητας άνω των 500 κατοίκων – Αντικατάσταση άρθρου 81 του ν 3852/2010</w:t>
      </w:r>
    </w:p>
    <w:p>
      <w:pPr>
        <w:pStyle w:val="NoSpacing1"/>
        <w:spacing w:lineRule="auto" w:line="360"/>
        <w:jc w:val="both"/>
        <w:rPr>
          <w:rFonts w:ascii="Book Antiqua" w:hAnsi="Book Antiqua"/>
          <w:b/>
          <w:b/>
          <w:sz w:val="24"/>
          <w:szCs w:val="24"/>
          <w:lang w:eastAsia="el-GR"/>
        </w:rPr>
      </w:pPr>
      <w:r>
        <w:rPr>
          <w:rFonts w:ascii="Book Antiqua" w:hAnsi="Book Antiqua"/>
          <w:sz w:val="24"/>
          <w:szCs w:val="24"/>
          <w:lang w:eastAsia="el-GR"/>
        </w:rPr>
        <w:t>Το άρθρο 81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w:t>
      </w:r>
      <w:r>
        <w:rPr>
          <w:rFonts w:ascii="Book Antiqua" w:hAnsi="Book Antiqua"/>
          <w:sz w:val="24"/>
          <w:szCs w:val="24"/>
          <w:lang w:eastAsia="el-GR"/>
        </w:rPr>
        <w:t>Αρμοδιότητες προέδρου συμβουλίου κοινότητας άνω των πεντακοσίων (500) κατοίκων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συμβουλίου κοινότητας άνω των πεντακοσίων (500) κατοίκων, πέρα από τις αρμοδιότητες εκείνες που προβλέπονται από άλλες διατάξεις, ασκεί και τις εξής αρμοδιότητες: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α) Εκπροσωπεί το συμβούλιο της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δημοτική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γ) Εκτελεί τις αποφάσεις του συμβουλίου που λαμβάνονται σύμφωνα με τις διατάξεις του άρθρου 83.</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δ) Ενεργεί πληρωμές από την πάγια προκαταβολή, που συνιστάται κατά τις σχετικές διατάξεις.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ε) Συμμετέχει στη διοίκηση κληροδοτήματος, με έδρα την κοινότητα στην οποία ασκεί τα καθήκοντα του, στις περιπτώσεις που προβλέπεται, σύμφωνα με το ν. 2539/1997 (Α` 244) ή την πράξη σύστασης του, η συμμετοχή προέδρου τοπικού συμβουλίου ή δημάρχου δήμου, ο οποίος καταργείται με τον παρόντα νόμο».</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 xml:space="preserve">Αρμοδιότητες προέδρου κοινότητας έως και 500 κατοίκων – Αντικατάσταση άρθρου 82 του ν. 3852/2010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82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«Αρμοδιότητες προέδρου κοινότητας κάτω των πεντακοσίων (500) κατοίκων </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ασκεί τις ακόλουθες αρμοδιότητες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β) αποφασίζει για την κατανομή του αναλογούντος στην κοινότητα ποσοστού των κεντρικών αυτοτελών πόρων που προορίζονται για επενδυτικές ανάγκες του δήμου, σύμφωνα με την παρ. 4Α του άρθρου 259,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μεριμνά για την καθαριότητα των κοινόχρηστων χώρων και συνεργάζεται με την αρμόδια υπηρεσία του δήμου για την καλή τήρηση αυτής,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μεριμνά για την εύρυθμη λειτουργία, τη συντήρηση και την ευταξία του κοιμητηρίου της κοινότητας, προεγκρίνει την κατασκευή οικογενειακών τάφων και λοιπών ταφικών μνημείων και εκδίδει τις άδειες για την παράταση ταφής και την ανακομιδή οστών,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καταγράφει τα μέσα και το ανθρώπινο δυναμικό που μπορεί να συμβάλλει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ια) ενεργεί πληρωμές από την πάγια προκαταβολή, που συνιστάται κατά τις σχετικές διατάξεις,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ιβ) συμμετέχει στη διοίκηση κληροδοτήματος, με έδρα την κοινότητα στην οποία ασκεί τα καθήκοντα του, στις περιπτώσεις που προβλέπεται, σύμφωνα με το ν. 2539/1997 ή την πράξη σύστασης του, η συμμετοχή προέδρου τοπικού συμβουλίου ή δημάρχου δήμου, ο οποίος καταργείται με τον παρόντα νόμο και</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ιγ) Προωθεί τον εθελοντισμό και συνεργάζεται με ομάδες εθελοντών για την εξυπηρέτηση των αναγκών της κοινότητας.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διατυπώνει επίσης γνώμη στο δημοτικό συμβούλιο για: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τον ορισμό των υπηρεσιακών μονάδων του δήμου που υπάρχει ανάγκη να λειτουργήσουν στην περιφέρεια του,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την αξιοποίηση των ακινήτων του δήμου, που βρίσκονται στην κοινότητα,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την πολεοδομική ανάπτυξη και ανάπλαση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τον τρόπο διάθεσης των βοσκήσιμων εκτάσεων που βρίσκονται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την εκμίσθωση χωρίς δημοπρασία δημοτικών δασικών εκτάσεων, που βρίσκονται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για την εκποίηση, εκμίσθωση, δωρεάν παραχώρηση χρήσης, ανταλλαγή και δωρεά, περιουσιακών στοιχείων του δήμου που βρίσκονται στα όρια της κοινότητας.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προτείνει στην επιτροπή ποιότητας ζωής: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τους χώρους λειτουργίας των λαϊκών αγορών και τις θέσεις που επιτρέπεται η άσκηση υπαίθριου στάσιμου εμπορίου, η λειτουργία των εμποροπανηγύρεων, των χριστουγεννιάτικων αγορών και γενικά των υπαίθριων εμπορικών δραστηριοτήτων στην περιφέρεια του,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τους χώρους στάθμευσης οχημάτων.</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Με αιτιολογημένη απόφαση του, ο πρόεδρος της κοινότητας έως και πεντακοσίων (500) κατοίκων εισηγείται στο δημοτικό συμβούλιο, σχετικά με τη λήψη απόφασης,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προβλεπόμενα από τις ισχύουσες διατάξεις πρόσωπα, καθώς και τα πρόσωπα που χρήζουν «βοήθειας στο σπίτι» και «διοικητικής βοήθειας».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Η αποδοχή κληροδοτήματος, κληρονομιάς ή δωρεάς, η οποία διατίθεται ρητά και αποκλειστικά για την κοινότητα, γίνεται από την οικονομική επιτροπή μετά από σύμφωνη γνώμη του οικείου προέδρου.</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προέδρων των κοινοτήτων έως και πεντακοσίων (500) κατοίκων δημοσιεύονται, σύμφωνα με τις διατάξεις για τη δημοσίευση των αποφάσεων του δημοτικού συμβουλίου.</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προέδρων των κοινοτήτων, εκτός από τις γνωμοδοτικές, είναι εκτελεστές από τη δημοσίευσή τους.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εκτελεστές αποφάσεις των προέδρων των κοινοτήτων προσβάλλονται με ειδική διοικητική προσφυγή ενώπιον του Επόπτη ΟΤΑ σύμφωνα με τα οριζόμενα στο άρθρο 227».</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84</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συμβουλίου κοινότητας – Αντικατάσταση άρθρου 83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83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«Αρμοδιότητες συμβουλίου κοινότητας </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ασκεί τις ακόλουθες αρμοδιότητες στα όρια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αποφασίζει ποια έργα και δράσεις θα εκτελεστούν στην κοινότητα, από το ποσοστό των Κεντρικών Αυτοτελών Πόρων για κάλυψη των επενδυτικών αναγκών των δήμων, που της αναλογούν, σύμφωνα με την παρ. 4 Α του άρθρου 259,</w:t>
      </w:r>
    </w:p>
    <w:p>
      <w:pPr>
        <w:pStyle w:val="NoSpacing1"/>
        <w:spacing w:lineRule="auto" w:line="360"/>
        <w:ind w:left="1134" w:hanging="0"/>
        <w:jc w:val="both"/>
        <w:rPr>
          <w:rFonts w:ascii="Book Antiqua" w:hAnsi="Book Antiqua"/>
          <w:sz w:val="24"/>
          <w:szCs w:val="24"/>
          <w:lang w:eastAsia="el-GR"/>
        </w:rPr>
      </w:pPr>
      <w:r>
        <w:rPr>
          <w:rFonts w:ascii="Book Antiqua" w:hAnsi="Book Antiqua"/>
          <w:sz w:val="24"/>
          <w:szCs w:val="24"/>
          <w:lang w:eastAsia="el-GR"/>
        </w:rPr>
        <w:t>γ) προτείνει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εισήγηση της προς το δημοτικό συμβούλιο για την έκδοση των προβλεπόμενων σχετικών τοπικών κανονιστικών αποφάσεων.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προωθεί τον εθελοντισμό και συνεργάζεται με ομάδες εθελοντών για την εξυπηρέτηση των αναγκών της κοινότητας.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εκφράζει επίσης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τις υπηρεσιακές μονάδες του δήμου για τις οποίες συντρέχουν δυνατότητες λειτουργίας τους στην κοινότητα με κριτήριο ότι θα συμβάλλουν στην καλύτερη εξυπηρέτηση των δημοτών και στην ανάπτυξη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την αξιοποίηση των ακινήτων του δήμου που βρίσκονται στην περιοχή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την πολεοδομική ανάπτυξη και ανάπλαση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την κυκλοφορία και τη συγκοινωνία της περιοχής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την εκτέλεση νέων έργων, τη συντήρηση και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την προστασία του φυσικού και πολιτιστικού περιβάλλοντος, την αναβάθμιση της αισθητικής περιοχών, καθώς και για την καθαριότητα αυτών,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την προστασία της δημόσιας υγείας και την προστασία των κατοίκων από την ηχορύπανση,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την περισυλλογή και εν γένει τη μέριμνα για τα αδέσποτα ζώα,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τη διοργάνωση πολιτιστικών εκδηλώσεων και γενικότερα την ανάπτυξη της περιοχής της κοινότητας σε πολιτιστικά, πνευματικά, κοινωνικά θέματα,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ια)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ιβ)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ιγ) την τροποποίηση των ορίων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ιδ)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ιε) την αξιοποίηση των τοπικών πόρων της περιοχής της κοινότητας.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Μέλη του συμβουλίου της κοινότητας συμμετέχουν στη διοίκηση κληροδοτήματος με έδρα την κοινότητα που ασκούν τα καθήκοντα τους, στις περιπτώσεις που προβλέπεται, σύμφωνα με το ν. 2539/1997 ή την πράξη σύστασής του, η συμμετοχή μελών τοπικού συμβουλίου ή μελών του δημοτικού συμβουλίου δήμου ο οποίος καταργείται με τον παρόντα νόμο.</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Τα συμβούλια των κοινοτήτων άνω των πεντακοσίων (500) κατοίκων ασκούν και τις αρμοδιότητες του προέδρου των κοινοτήτων έως και πεντακοσίων (500) κατοίκων, που προβλέπονται στ</w:t>
      </w:r>
      <w:r>
        <w:rPr>
          <w:rFonts w:ascii="Book Antiqua" w:hAnsi="Book Antiqua"/>
          <w:sz w:val="24"/>
          <w:szCs w:val="24"/>
          <w:lang w:val="en-US" w:eastAsia="el-GR"/>
        </w:rPr>
        <w:t>o</w:t>
      </w:r>
      <w:r>
        <w:rPr>
          <w:rFonts w:ascii="Book Antiqua" w:hAnsi="Book Antiqua"/>
          <w:sz w:val="24"/>
          <w:szCs w:val="24"/>
          <w:lang w:eastAsia="el-GR"/>
        </w:rPr>
        <w:t xml:space="preserve"> άρθρο 82 του παρόντος.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συμβουλίων των κοινοτήτων δημοσιεύονται, σύμφωνα με τις διατάξεις για τη δημοσίευση των αποφάσεων του δημοτικού συμβουλίου.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 πρόεδρος του συμβουλίου της κοινότητας μέσα σε οκτώ (8) ημέρες από τη συνεδρίαση διαβιβάζει στο δήμαρχο απόσπασμα των πρακτικών του συμβουλίου, το οποίο περιλαμβάνει κάθε απόφαση του συμβουλίου χωριστά, μαζί με αντίγραφο του αποδεικτικού δημοσίευσης.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Οι σχετικές διατάξεις για τα κωλύματα συμμετοχής στις συνεδριάσεις του δημοτικού συμβουλίου εφαρμόζονται και στα συμβούλια των κοινοτήτων.</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συμβουλίων των κοινοτήτων είναι εκτελεστές από τη δημοσίευση τους, εκτός αν ορίζεται διαφορετικά με ειδικότερη διάταξη νόμου.</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εκτελεστές πράξεις των συμβουλίων των κοινοτήτων που λαμβάνονται σύμφωνα με τις διατάξεις του άρθρου αυτού προσβάλλονται με ειδική διοικητική προσφυγή ενώπιον του Επόπτη ΟΤΑ σύμφωνα με τα οριζόμενα στο άρθρο 227».</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85</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Γενικές διατάξεις για τη λειτουργία των κοινοτήτων – Αντικατάσταση άρθρου 84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84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«Γενικές διατάξεις για τη λειτουργία των κοινοτήτων</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Ο δήμαρχος, με απόφαση του, που δημοσιεύεται σε μία (1) τουλάχιστον ημερήσια ή εβδομαδιαία εφημερίδα και στην ιστοσελίδα του δήμου μπορεί να μεταβιβάζει αρμοδιότητές του στους προέδρους των κοινοτήτων.</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Το δημοτικό συμβούλιο με απόφαση, που λαμβάνεται με την απόλυτη πλειοψηφία του συνόλου των μελών του, μπορεί να μεταβιβάζει συγκεκριμένες αρμοδιότητες του στους προέδρους ή στα συμβούλια των κοινοτήτων. Η απόφαση αυτή δημοσιεύεται σε μία (1) τουλάχιστον ημερήσια ή εβδομαδιαία εφημερίδα, και αναρτάται στην ιστοσελίδα του δήμου. Οι αρμοδιότητες αυτές ασκούνται μέσα στα όρια της οικείας κοινότητας.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Δεν επιτρέπεται η μεταβίβαση των ακόλουθων αρμοδιοτήτων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η έκδοση κανονιστικών πράξεων,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η επιβολή φόρων, τελών και δικαιωμάτων,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η σύναψη δανείων,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ε) οι αποφάσεις που κατά ειδικές διατάξεις λαμβάνονται με ειδική πλειοψηφία των μελών του δημοτικού συμβουλίου.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Η απόφαση αυτή αναρτάται στην ιστοσελίδα του δήμου και δημοσιεύεται σε μία (1) τουλάχιστον εφημερίδα του νομού.</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Αν για οποιονδήποτε λόγο ο πρόεδρος ή το συμβούλιο της κοινότητας δεν ασκεί τις αρμοδιότητές του, τότε τις ασκεί ο δήμος με τα αρμόδια όργανα του. Σχετική διαπιστωτική πράξη εκδίδει το δημοτικό συμβούλιο, μετά από σχετική εισήγηση του δημάρχου ή του τυχόν κατά τόπο αρμόδιου ορισμένου αντιδημάρχου.</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της τοπικής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86</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Συνέλευση κατοίκων κοινότητας – Αντικατάσταση άρθρου 85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85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«Συνέλευση κατοίκων κοινότητας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Με ευθύνη του προέδρου κάθε κοινότητας ή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τοπικής κοινότητας και τις προτεραιότητες για την τοπική ανάπτυξη, τις δράσεις που πρέπει να αναλάβει ο δήμος ιδίως ως προς: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α) την παροχή κοινωνικών ή άλλων υπηρεσιών για την εξυπηρέτηση των κατοίκων της περιοχής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β) τη λήψη μέτρων για την προστασία των ηλικιωμένων και των παιδιών στο πλαίσιο της κοινωνικής πολιτικής του δήμου,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γ) τα έργα που πρέπει να εκτελεστούν στην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δ) την παροχή υπηρεσιών για την τουριστική αξιοποίηση και προβολή της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ε) την εφαρμογή πολιτιστικών, ψυχαγωγικών και αθλητικών προγραμμάτων και</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στ) κάθε άλλο θέμα που αφορά την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Για την ανωτέρω διαδικασία τηρούνται πρακτικά από υπάλληλο του δήμου, τα οποία αποστέλλονται με ευθύνη του προέδρου του συμβουλίου της κοινότητας στα μέλη του συμβουλίου και στον πρόεδρο του δημοτικού συμβουλίου, προς περαιτέρω διανομή στα μέλη του.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Σε κοινότητες άνω των 2000 κατοίκων, οι συνελεύσεις των κατοίκων μπορούν να γίνονται και ανά συνοικία, ενορία ή άλλη πρόσφορη υποδιαίρεση».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p>
    <w:p>
      <w:pPr>
        <w:pStyle w:val="NoSpacing1"/>
        <w:spacing w:lineRule="auto" w:line="360"/>
        <w:jc w:val="center"/>
        <w:rPr>
          <w:rFonts w:ascii="Book Antiqua" w:hAnsi="Book Antiqua"/>
          <w:b/>
          <w:b/>
          <w:sz w:val="24"/>
          <w:szCs w:val="24"/>
          <w:lang w:eastAsia="el-GR"/>
        </w:rPr>
      </w:pPr>
      <w:r>
        <w:rPr>
          <w:rFonts w:ascii="Book Antiqua" w:hAnsi="Book Antiqua"/>
          <w:sz w:val="24"/>
          <w:szCs w:val="24"/>
          <w:lang w:eastAsia="el-GR"/>
        </w:rPr>
        <w:br/>
      </w:r>
      <w:r>
        <w:rPr>
          <w:rFonts w:ascii="Book Antiqua" w:hAnsi="Book Antiqua"/>
          <w:b/>
          <w:sz w:val="24"/>
          <w:szCs w:val="24"/>
          <w:lang w:eastAsia="el-GR"/>
        </w:rPr>
        <w:t>Άρθρο 87</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87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 xml:space="preserve">«Διαδικασία υλοποίησης αποφάσεων προέδρου ή συμβουλίου κοινότητας </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οργάνων των κοινοτήτων με τις οποίες διατυπώνονται οι προτάσεις για τα θέματα της αρμοδιότητας τους, σύμφωνα με τις διατάξεις των άρθρων 82, 83 και 84 του παρόντος,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Τα αρμόδια όργανα του δήμου μπορούν: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να επιστρέψουν την απόφαση του οργάνου της κοινότητας με παρατηρήσεις για επανεξέταση τυχόν του θέματος,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να την παραπέμψουν στο δημοτικό συμβούλιο,</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να τη διαβιβάσουν στις αρμόδιες υπηρεσίες του δήμου για να γίνουν οι απαραίτητες ενέργειες.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Σε κάθε περίπτωση τα αρμόδια όργανα του δήμου οφείλουν να ενημερώνουν τον πρόεδρο της κοινότητας ή του συμβουλίου κοινότητας, για τα μέτρα που παίρνονται για την προώθηση των θεμάτων που περιλαμβάνονται στις αποφάσεις των οργάνων της κοινότητας.</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συμβουλίου κοινότητας στον οποίο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88</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Σύγκληση του συμβουλίου κοινότητας – Αντικατάσταση άρθρου 88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88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«Σύγκληση του συμβουλίου κοινότητας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όποτε το ζητήσει, με γραπτή αίτηση, το ένα τρίτο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όποτε το ζητήσουν τουλάχιστον εκατό (100) κάτοικοι της κοινότητας, με γραπτή αίτηση, στην οποία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αναδείχθηκε πρώτος σε σταυρούς και, επί ισοψηφίας, εκείνου που αναγράφεται πρώτος στην απόφαση ανακήρυξης.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Αν ο πρόεδρος της κοινότητας παραλείπει αδικαιολόγητα επί δύο (2) συνεχείς μήνες ή δύο (2) συνεχείς φορές κατά τις διατάξεις των προηγούμενων παραγράφων να συγκαλέσει το συμβούλιο, μπορεί να τεθεί σε αργία και σε περίπτωση υποτροπής να τιμωρηθεί με την ποινή της έκπτωσης από το αξίωμα κατά την προβλεπόμενη πειθαρχική διαδικασία, σύμφωνα με το άρθρο 234 του παρόντος».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Λειτουργία συμβουλίου κοινότητας – Αντικατάσταση άρθρου 89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89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«Τόπος συνεδρίασης, απαρτία και λήψη αποφάσεων του συμβουλίου της κοινότητας</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Οι συνεδριάσεις του συμβουλίου της κοινότητας είναι δημόσιες και γίνονται στο γραφείο αυτής υπό την προεδρία του προέδρου του συμβουλίου.</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έχει απαρτία όταν είναι παρόντα τα δύο τρίτα (2/3) των μελών του.</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λαμβάνει τις αποφάσεις του με την απόλυτη πλειοψηφία των παρόντων, αν δεν υπάρχει άλλη διάταξη που ορίζει διαφορετικά.</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Αν κάποιο μέλος του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ΤΜΗΜΑ Γ’</w:t>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Άρθρο 90</w:t>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Έναρξη ισχύος Κεφαλαίου Δ’</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Οι διατάξεις του Κεφαλαίου Δ’ ισχύουν από την επόμενη αυτοδιοικητική περίοδο.</w:t>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ΚΕΦΑΛΑΙΟ Ε’</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ΣΥΣΤΗΜΑ ΔΙΑΚΥΒΕΡΝΗΣΗΣ ΠΕΡΙΦΕΡΕΙΩΝ</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91</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Αντιπεριφερειάρχες – Αντικατάσταση άρθρου 160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160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«Αντιπεριφερειάρχες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περιφερειάρχη επικουρούν οι αντιπεριφερειάρχες, οι οποίοι ορίζονται και ανακαλούνται με απόφασή του που δημοσιεύεται στην Εφημερίδα της Κυβερνήσεως.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αντιπεριφερειάρχες διακρίνονται σε χωρικούς και σε θεματικούς, ως εξής: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α) Οι χωρικοί αντιπεριφερειάρχες είναι ίσοι σε αριθμό με τις περιφερειακές ενότητες της οικείας περιφέρειας, με εξαίρεση τις περιφέρειες Βορείου Αιγαίου, Νοτίου Αιγαίου, </w:t>
      </w:r>
      <w:r>
        <w:rPr>
          <w:rFonts w:cs="Courier New" w:ascii="Book Antiqua" w:hAnsi="Book Antiqua"/>
          <w:sz w:val="24"/>
          <w:szCs w:val="24"/>
          <w:lang w:eastAsia="el-GR"/>
        </w:rPr>
        <w:t>Ανατολικής Μακεδονίας και Θράκης, Θεσσαλίας</w:t>
      </w:r>
      <w:r>
        <w:rPr>
          <w:rFonts w:cs="Courier New" w:ascii="Book Antiqua" w:hAnsi="Book Antiqua"/>
          <w:color w:val="000000"/>
          <w:sz w:val="24"/>
          <w:szCs w:val="24"/>
          <w:lang w:eastAsia="el-GR"/>
        </w:rPr>
        <w:t xml:space="preserve"> και Ιονίων Νήσων, όπου οι χωρικοί αντιπεριφερειάρχες είναι ίσοι σε αριθμό με τους νομούς της οικείας περιφέρειας. Οι θέσεις των χωρικών αντιπεριφερειαρχών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προηγούμενης παραγράφου.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Οι θεματικοί αντιπεριφερειάρχες μπορούν να είναι έως και έξι (6) σε κάθε περιφέρεια. Ορίζονται δυνητικά από τον περιφερειάρχη, με την απόφαση της προηγούμενης παραγράφου, μεταξύ όλων των περιφερειακών συμβούλων.</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χωρικοί αντιπεριφερειάρχες έχουν τις ακόλουθες αρμοδιότητες: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συντονίζουν και εποπτεύουν τις υπηρεσίες της περιφέρειας που λειτουργούν στα όρια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εκτελούν τις αποφάσεις του περιφερειάρχη, του περιφερειακού συμβουλίου και της οικονομικής επιτροπής, που αφορούν την περιφερειακή ενότητα όπου είναι κατά τόπο αρμόδιοι,</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ασκούν όλες τις αρμοδιότητες που τους μεταβιβάζει ο περιφερειάρχης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 διατυπώνουν εισήγηση προς το περιφερειακό συμβούλιο για το σχεδιασμό μέτρων πολιτικής προστασίας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ενότητα τους, σύμφωνα με τις οδηγίες και τις κατευθύνσεις που τους παρέχει ο περιφερειάρχης,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 προεδρεύουν του Συντονιστικού Οργάνου Πολιτικής Προστασίας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σύστασης του ή κατ` άλλο νόμιμο τρόπο, η συμμετοχή του Νομάρχη της καταργούμενης με τον παρόντα νόμο Νομαρχιακής Αυτοδιοίκησης.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χωρικοί αντιπεριφερειάρχες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Στους θεματικούς αντιπεριφερειάρχες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προηγούμενης παραγράφου, και στους χωρικούς αντιπεριφερειάρχες.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αντιπεριφερειάρχες μπορούν, για την άσκηση των αρμοδιοτήτων τους, οι οποίες μεταβιβάζονται σε αυτούς από τον περιφερειάρχη, να παρέχουν εξουσιοδότηση υπογραφής, με εντολή τους, σε προϊσταμένους υπηρεσιών της περιφέρειας, με εξαίρεση χρηματικά εντάλματα πληρωμών.</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Σε περίπτωση απουσίας ή κωλύματος αντιπεριφερειάρχη οι αρμοδιότητες του ασκούνται από τον περιφερειάρχη ή άλλον αντιπεριφερειάρχη που ορίζει ο περιφερειάρχης με την πράξη της παραγράφου 1».</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92</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Αναπλήρωση – αντικατάσταση περιφερειάρχη – Αντικατάσταση άρθρου 161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161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«Αναπλήρωση και αντικατάσταση περιφερειάρχη</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περιφερειάρχη όταν απουσιάζει ή κωλύεται ή έχει τεθεί σε αργία ή για οποιονδήποτε λόγο η θέση είναι κενή, στα καθήκοντα του τον αναπληρώνει ένας από τους αντιπεριφερειάρχες με τη σειρά αναπλήρωσης που αυτός έχει ορίσει.</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ο περιφερειάρχης παραιτηθεί, εκπέσει, αποβιώσει ή ακυρωθεί η εκλογή του, τα καθήκοντα του ασκεί, ώσπου να εκλεγεί νέος περιφερειάρχης, ένας από τους αντιπεριφερειάρχες με τη σειρά αναπλήρωσης, που αυτός έχει ορίσει.</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έχει οριστεί αντιπεριφερειάρχης,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93</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Εκλογή νέου περιφερειάρχη σε περίπτωση κένωσης της θέσης– Αντικατάσταση άρθρου 162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162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ascii="Book Antiqua" w:hAnsi="Book Antiqua"/>
          <w:color w:val="000000"/>
          <w:sz w:val="24"/>
          <w:szCs w:val="24"/>
          <w:lang w:eastAsia="el-GR"/>
        </w:rPr>
        <w:t>«Εκλογή νέου περιφερειάρχη</w:t>
        <w:br/>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περιφερειάρχη. Η πρόσκληση επιδίδεται με οποιοδήποτε δημόσιο όργανο ή όργανο της περιφέρειας, ακόμη και την παραμονή της συνεδρίασης.</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ύστερα από δύο διαδοχικές ψηφοφορίες κανείς δε συγκεντρώνει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και στη συνεδρίαση αυτή δεν επιτευχθεί εκλογή ή η συνεδρίαση ματαιωθεί, επειδή δεν υπήρξε απαρτία, θεωρείται ότι εκλέγεται απευθείας ο σύμβουλος του επιτυχόντος συνδυασμού που έχει εκλεγεί με τους περισσότερους σταυρούς προτίμησης και, σε περίπτωση ισοψηφίας, εκείνος που είναι γραμμένος πρώτος κατά σειρά στην απόφαση του δικαστηρίου.</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νομιμότητα της και εκδίδει απόφαση μέσα σε πέντε (5) ημέρες το αργότερο, αφότου την έλαβε. Αν ο Επόπτης ΟΤΑ 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4, </w:t>
      </w:r>
      <w:r>
        <w:rPr>
          <w:rFonts w:ascii="Book Antiqua" w:hAnsi="Book Antiqua"/>
          <w:sz w:val="24"/>
          <w:szCs w:val="24"/>
          <w:lang w:eastAsia="el-GR"/>
        </w:rPr>
        <w:t>ο σύμβουλος του επιτυχόντος συνδυασμού, που έχει εκλεγεί με τις περισσότερες ψήφους και, σε περίπτωση ισοψηφίας, διενεργείται κλήρωση</w:t>
      </w:r>
      <w:r>
        <w:rPr>
          <w:rFonts w:cs="Courier New" w:ascii="Book Antiqua" w:hAnsi="Book Antiqua"/>
          <w:color w:val="000000"/>
          <w:sz w:val="24"/>
          <w:szCs w:val="24"/>
          <w:lang w:eastAsia="el-GR"/>
        </w:rPr>
        <w:t>.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παρούσας ο Επόπτης ΟΤΑ εκδίδει διαπιστωτική πράξη».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94</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Αποφασιστικού χαρακτήρα επιτροπές περιφερειακού συμβουλίου – Αντικατάσταση άρθρου 164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164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«Αποφασιστικού χαρακτήρα επιτροπές Περιφερειακού Συμβουλίου</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Με απόφαση του περιφερειακού συμβουλίου, η οποία λαμβάνεται με την απόλυτη πλειοψηφία του συνόλου των μελών του, μπορεί να συστήνονται μέχρι δύο (2) επιτροπές στις οποίες το συμβούλιο μεταβιβάζει αρμοδιότητες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της κάθε επιτροπής καθορίζεται με απόφαση του περιφερειακού συμβουλίου.</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Πρόεδρος της κάθε επιτροπής είναι ο αρμόδιος σχετικά με το αντικείμενο της επιτροπής αντιπεριφερειάρχης. Αντιπρόεδρος εκλέγεται στην πρώτη συνεδρίαση ένα από τα μέλη της επιτροπής.</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αρμοδιότητας τους στο περιφερειακό συμβούλιο για τη λήψη απόφασης.</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Για τη σύσταση των επιτροπών του περιφερειακού συμβουλίου, τη σύγκληση, την απαρτία, την πλειοψηφία, τη λήψη απόφασης και κάθε άλλο σχετικό θέμα ισχύουν αναλογικά οι διατάξεις για την οικονομική επιτροπή.</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μπορεί να συγκροτεί από τα μέλη του γνωμοδοτικές επιτροπές για την επεξεργασία προτάσεων και τη διατύπωση εισηγήσεων σε θέματα της αρμοδιότητας του με σκοπό την καλύτερη οργάνωση των εργασιών του και την εκπλήρωση της αποστολής του».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95</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Γνωμοδοτικού χαρακτήρα επιτροπές περιφερειακού συμβουλίου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Στον ν. 3852/2010 προστίθεται άρθρο 164Α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rmal"/>
        <w:jc w:val="center"/>
        <w:rPr>
          <w:rFonts w:ascii="Book Antiqua" w:hAnsi="Book Antiqua"/>
          <w:sz w:val="24"/>
          <w:szCs w:val="24"/>
        </w:rPr>
      </w:pPr>
      <w:r>
        <w:rPr>
          <w:rFonts w:ascii="Book Antiqua" w:hAnsi="Book Antiqua"/>
          <w:sz w:val="24"/>
          <w:szCs w:val="24"/>
        </w:rPr>
        <w:t>«Άρθρο 164Α</w:t>
      </w:r>
    </w:p>
    <w:p>
      <w:pPr>
        <w:pStyle w:val="Normal"/>
        <w:jc w:val="center"/>
        <w:rPr>
          <w:rFonts w:ascii="Book Antiqua" w:hAnsi="Book Antiqua"/>
          <w:sz w:val="24"/>
          <w:szCs w:val="24"/>
        </w:rPr>
      </w:pPr>
      <w:r>
        <w:rPr>
          <w:rFonts w:ascii="Book Antiqua" w:hAnsi="Book Antiqua"/>
          <w:sz w:val="24"/>
          <w:szCs w:val="24"/>
        </w:rPr>
        <w:t>Γνωμοδοτικού χαρακτήρα επιτροπές Περιφερειακού Συμβουλίου</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Ο πρόεδρος του περιφερειακού συμβουλίου, με απόφασή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του περιφέρειας, καθώς και ιδιώτες εμπειρογνώμονες στα θέματα της επιτροπής και εκπρόσωποι κοινωνικών φορέων της περιοχής.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Θέματα που έχουν εγγραφεί στην ημερήσια διάταξη, ύστερα από πρόταση του περιφερειάρχη ή του ενός πέμπτου (1/5) των μελών του περιφερειακού συμβουλίου, μπορούν να παραπεμφθούν σε επιτροπή με απόφαση του περιφερειακού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δύναται να παραπέμπει σε γνωμοδοτική επιτροπή οποιοδήποτε άλλο θέμα και πριν από την εγγραφή του στην ημερήσια διάταξη».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96</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Συγκρότηση – εκλογή προεδρείου περιφερειακού συμβουλίου – Αντικατάσταση άρθρου 165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165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«Συγκρότηση – Εκλογή προεδρείου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περιφερειακού συμβουλίου αναδεικνύεται για διετή θητεία το πρώτο και το τρίτο έτος της περιφερειακής περιόδου.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Την πρώτη Κυριακή του Ιανουαρίου του έτους έναρξης της περιφερειακής περιόδου ,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με πρόσκληση του προέδρου του, ενώ καθήκοντα ειδικού γραμματέα ασκεί ο γραμματέας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περιφερειακού συμβουλίου συγκροτείται από τον πρόεδρο, τον αντιπρόεδρο και τον γραμματέα, ως εξής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Ο πρόεδρος προέρχεται από την παράταξη του εκλεγέντος περιφερειάρχη, είτε αναδείχθηκε πρώτη είτε δεύτερη σε εκλογική δύναμη.</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Ο γραμματέας προέρχεται από την τρίτη σε εκλογική δύναμη παράταξη.</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Πρώτα καλούνται οι περιφερειακοί σύμβουλοι που ανήκουν στην παράταξη του περιφερειάρχη και εκλέγουν με μυστική ψηφοφορία έναν εξ αυτών, ως προτεινόμενο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 xml:space="preserve">β) Έπειτα καλούνται οι περιφερειακοί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περιφερειακού συμβουλίου, με την ίδια διαδικασία.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Εν συνεχεία καλούνται οι περιφερειακοί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περιφερειακού συμβουλίου, με την ίδια διαδικασία.</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περ. α’ του παρόντος.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 με ψηφοφορία την εκλογή του υποδειχθέντος υποψηφίου για κάθε αξίωμα.</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π.μ.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π.μ. στη αίθουσα συνεδριάσεων του περιφερειακού συμβουλίου. </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97</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Παραίτηση μελών του προεδρείου του περιφερειακού συμβουλίου – Αντικατάσταση άρθρου 166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166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«Παραίτηση</w:t>
      </w:r>
    </w:p>
    <w:p>
      <w:pPr>
        <w:pStyle w:val="NoSpacing1"/>
        <w:numPr>
          <w:ilvl w:val="0"/>
          <w:numId w:val="97"/>
        </w:numPr>
        <w:spacing w:lineRule="auto" w:line="360"/>
        <w:jc w:val="both"/>
        <w:rPr>
          <w:rFonts w:ascii="Book Antiqua" w:hAnsi="Book Antiqua" w:cs="Courier New"/>
          <w:b/>
          <w:b/>
          <w:color w:val="000000"/>
          <w:sz w:val="24"/>
          <w:szCs w:val="24"/>
          <w:lang w:eastAsia="el-GR"/>
        </w:rPr>
      </w:pPr>
      <w:r>
        <w:rPr>
          <w:rFonts w:ascii="Book Antiqua" w:hAnsi="Book Antiqua"/>
          <w:sz w:val="24"/>
          <w:szCs w:val="24"/>
          <w:lang w:eastAsia="el-GR"/>
        </w:rPr>
        <w:t>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pPr>
        <w:pStyle w:val="NoSpacing1"/>
        <w:numPr>
          <w:ilvl w:val="0"/>
          <w:numId w:val="97"/>
        </w:numPr>
        <w:spacing w:lineRule="auto" w:line="360"/>
        <w:jc w:val="both"/>
        <w:rPr>
          <w:rFonts w:ascii="Book Antiqua" w:hAnsi="Book Antiqua" w:cs="Courier New"/>
          <w:b/>
          <w:b/>
          <w:color w:val="000000"/>
          <w:sz w:val="24"/>
          <w:szCs w:val="24"/>
          <w:lang w:eastAsia="el-GR"/>
        </w:rPr>
      </w:pPr>
      <w:r>
        <w:rPr>
          <w:rFonts w:cs="Courier New" w:ascii="Book Antiqua" w:hAnsi="Book Antiqua"/>
          <w:color w:val="000000"/>
          <w:sz w:val="24"/>
          <w:szCs w:val="24"/>
          <w:lang w:eastAsia="el-GR"/>
        </w:rPr>
        <w:t>Για την αποδοχή της παραίτησης γίνεται ειδική συνεδρίαση</w:t>
      </w:r>
      <w:r>
        <w:rPr>
          <w:rFonts w:ascii="Book Antiqua" w:hAnsi="Book Antiqua"/>
          <w:sz w:val="24"/>
          <w:szCs w:val="24"/>
          <w:lang w:eastAsia="el-GR"/>
        </w:rPr>
        <w:t xml:space="preserve"> την πρώτη Κυριακή μετά την υποβολή της παραίτησης. Στην ίδια συνεδρίαση, με τη διαδικασία του προηγούμενου άρθρου,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98</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Σύγκληση περιφερειακού συμβουλίου – Αντικατάσταση άρθρου 167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167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«Σύγκληση Περιφερειακού Συμβουλίου </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κατεπείγουσες μόνο περιπτώσεις.</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εγκατάσταση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αίτηση και αποφασίζει για τα θέματα για τα οποία είχε ζητηθεί η σύγκληση του.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την πειθαρχική διαδικασία του άρθρου 234.</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αντιπεριφερειάρχες, οι επικεφαλής των παρατάξεων και οι ειδικοί αγορητές ανά θέμα, οι οποίοι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αντιπεριφερειάρχες, τους επικεφαλής των παρατάξεων, τους ειδικούς αγορητές και τους περιφερειακούς συμβούλους.</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Με απόφασή του, η οποία λαμβάνεται με απλή πλειοψηφία των παρόντων μελών του, το περιφερειακό συμβούλιο μπορεί να επιτρέπει να λάβουν το λόγο εκπρόσωποι φορέων ή πολίτες που παρευρίσκονται στη συνεδρίαση, εφ’ όσον το ζητήσουν. </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Με απόφαση του Υπουργού Εσωτερικών μετά από πρόταση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Εάν δεν έχει θεσπισθεί κανονισμός λειτουργίας από το περιφερειακό συμβούλιο, ισχύει ο πρότυπος κανονισμός».</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99</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 xml:space="preserve">Λειτουργία – παρατάξεις περιφερειακού συμβουλίου – Αντικατάσταση άρθρου 168 του ν. 3852/2010 </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168 του ν. 3852/2010 αντικαθίσταται ως εξής:</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«Λειτουργία Περιφερειακού Συμβουλίου – Περιφερειακές παρατάξεις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αντιπεριφερειάρχες,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περισσότερες ψήφους και, σε περίπτωση ισοψηφίας, όποιος είναι γραμμένος πρώτος στην απόφαση του δικαστηρίου.</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Κατά προτεραιότητα και πάντα μετά τον περιφερειάρχη οι επικεφαλής των παρατάξεων εκφράζουν τις απόψεις τους σύμφωνα με τη σειρά εκλογής τους.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Μέλος του περιφερειακού συμβουλίου μπορεί με γραπτή δήλωση του προς το προεδρείο να ανεξαρτητοποιηθεί από τη περιφερειακή παράταξη, με την οποία έχει εκλεγεί.</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Εάν η περιφερειακή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Μέλος του περιφερειακού συμβουλίου που ανεξαρτητοποιήθηκε ή διαγράφηκε από την παράταξη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Μέλη του περιφερειακού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περιφερειακού συμβουλίου και υπογράφεται από το σύνολο των μελών που θα απαρτίζουν τη νέα παράταξη.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συνενούμενων παρατάξεων.</w:t>
      </w:r>
    </w:p>
    <w:p>
      <w:pPr>
        <w:pStyle w:val="NoSpacing1"/>
        <w:numPr>
          <w:ilvl w:val="0"/>
          <w:numId w:val="99"/>
        </w:numPr>
        <w:spacing w:lineRule="auto" w:line="360"/>
        <w:jc w:val="both"/>
        <w:rPr>
          <w:rFonts w:ascii="Book Antiqua" w:hAnsi="Book Antiqua"/>
          <w:b/>
          <w:b/>
          <w:sz w:val="24"/>
          <w:szCs w:val="24"/>
          <w:lang w:eastAsia="el-GR"/>
        </w:rPr>
      </w:pPr>
      <w:r>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pPr>
        <w:pStyle w:val="NoSpacing1"/>
        <w:numPr>
          <w:ilvl w:val="0"/>
          <w:numId w:val="99"/>
        </w:numPr>
        <w:spacing w:lineRule="auto" w:line="360"/>
        <w:jc w:val="both"/>
        <w:rPr>
          <w:rFonts w:ascii="Book Antiqua" w:hAnsi="Book Antiqua"/>
          <w:b/>
          <w:b/>
          <w:sz w:val="24"/>
          <w:szCs w:val="24"/>
          <w:lang w:eastAsia="el-GR"/>
        </w:rPr>
      </w:pPr>
      <w:r>
        <w:rPr>
          <w:rFonts w:cs="Courier New" w:ascii="Book Antiqua" w:hAnsi="Book Antiqua"/>
          <w:color w:val="000000"/>
          <w:sz w:val="24"/>
          <w:szCs w:val="24"/>
          <w:lang w:eastAsia="el-GR"/>
        </w:rPr>
        <w:t>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100</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Τροποποίηση άρθρου 169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τρίτο εδάφιο της παρ. 2 του άρθρου 169 του ν. 3852/2010 αντικαθίσταται ως εξής:</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b/>
          <w:color w:val="000000"/>
          <w:sz w:val="24"/>
          <w:szCs w:val="24"/>
          <w:lang w:eastAsia="el-GR"/>
        </w:rPr>
        <w:t>«</w:t>
      </w:r>
      <w:r>
        <w:rPr>
          <w:rFonts w:cs="Courier New" w:ascii="Book Antiqua" w:hAnsi="Book Antiqua"/>
          <w:color w:val="000000"/>
          <w:sz w:val="24"/>
          <w:szCs w:val="24"/>
          <w:lang w:eastAsia="el-GR"/>
        </w:rP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101</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Οικονομική Επιτροπή – Αντικατάσταση άρθρου 175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175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«Οικονομική Επιτροπή </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αποτελείται από τον περιφερειάρχη ή τον οριζόμενο από αυτόν αντιπεριφερειάρχη ως πρόεδρο, έναν ακόμη αντιπεριφερειάρχη ως μέλος οριζόμενο από τον περιφερειάρχη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 </w:t>
      </w:r>
      <w:r>
        <w:rPr>
          <w:rFonts w:cs="Courier New" w:ascii="Book Antiqua" w:hAnsi="Book Antiqua"/>
          <w:color w:val="000000"/>
          <w:sz w:val="24"/>
          <w:szCs w:val="24"/>
          <w:lang w:eastAsia="el-GR"/>
        </w:rPr>
        <w:t>Η διάρκεια της θητείας της οικονομικής επιτροπής είναι δύο έτη. Το περιφερειακό συμβούλιο, μετά την εκλογή του προεδρείου κατά τις ημερομηνίες που ορίζονται στην παράγραφο 1 του άρθρου 165 του παρόντος και κατά τη διάρκεια της ίδιας συνεδρίασης, εκλέγει μεταξύ των μελών του, με μυστική ψηφοφορία, τα μέλη της οικονομικής επιτροπής.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Δεν επιτρέπεται να εκλεγεί μέλος της οικονομικής επιτροπής ο πρόεδρος του περιφερειακού συμβουλίου και οι αντιπεριφερειάρχες.</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Κάθε σύμβουλος ψηφίζει υποψήφιους σε αριθμό ίσο με το 50% των μελών της οικονομικής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και, ισάριθμα με τα τακτικά, αναπληρωματικά μέλη, τα οποία, με τη σειρά της εκλογής τους, παίρνουν τις θέσεις των τακτικών μελών που μένουν κενές κατά τη διάρκεια της θητείας τους. Αναπληρώνουν, επίσης, τα τακτικά μέλη σε περίπτωση απουσίας ή κωλύματος. Με την ίδια διαδικασία εκλέγονται νέα αναπληρωματικά μέλη σε περίπτωση που έχει εξαντληθεί ο αριθμός τούτων ανά κατηγορία. </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pPr>
        <w:pStyle w:val="NoSpacing1"/>
        <w:numPr>
          <w:ilvl w:val="0"/>
          <w:numId w:val="100"/>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Οι διατάξεις της παραγράφου 6 του άρθρου 165 του παρόντος εφαρμόζονται και για την εκλογή των μελών της οικονομικής επιτροπής.</w:t>
      </w:r>
    </w:p>
    <w:p>
      <w:pPr>
        <w:pStyle w:val="NoSpacing1"/>
        <w:numPr>
          <w:ilvl w:val="0"/>
          <w:numId w:val="100"/>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Αντιπρόεδρος της οικονομικής επιτροπής εκλέγεται στην πρώτη συνεδρίαση αυτής, μετά την εκλογή της, ένα από τα μέλη της με μυστική ψηφοφορία. Δικαίωμα ψήφου έχει και ο πρόεδρος της επιτροπής. Ο αντιπρόεδρος της οικονομικής επιτροπής αναπληρώνει τον πρόεδρο όταν αυτός απουσιάζει ή κωλύεται».</w:t>
      </w:r>
    </w:p>
    <w:p>
      <w:pPr>
        <w:pStyle w:val="NoSpacing1"/>
        <w:spacing w:lineRule="auto" w:line="360"/>
        <w:ind w:left="36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102</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Λειτουργία Οικονομικής Επιτροπής – Αντικατάσταση άρθρου 177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177 του ν. 3852/2010 αντικαθίσταται ως εξής:</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«Λειτουργία της Οικονομικής Επιτροπής</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συνεδριάζει, κατόπιν προσκλήσεως του προέδρου της, τουλάχιστον μια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μετά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σε δυο συνεχείς συνεδριάσεις δεν επιτυγχάνεται απαρτία ή απόλυτη πλειοψηφία, το σχετικό θέμα παραπέμπεται στο περιφερειακό συμβούλιο για λήψη αποφάσεως με ευθύνη του προέδρου της περιφερειακής επιτροπής.</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Στις συνεδριάσεις της Οικονομικής Επιτροπής προσκαλείται επίσης ο πρόεδρος της αντιπροσωπευτικότερης πρωτοβάθμιας συνδικαλιστικής οργάνωσης των εργαζομένων της Περιφέρειας, ο οποίος δικαιούται να λαμβάνει το λόγο.</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 όσον το ζητήσουν».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103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Περιφερειακή Επιτροπή Διαβούλευσης – Αντικατάσταση άρθρου 178 του ν. 3852/2010</w:t>
      </w:r>
    </w:p>
    <w:p>
      <w:pPr>
        <w:pStyle w:val="NoSpacing1"/>
        <w:spacing w:lineRule="auto" w:line="360"/>
        <w:rPr>
          <w:rFonts w:ascii="Book Antiqua" w:hAnsi="Book Antiqua"/>
          <w:b/>
          <w:b/>
          <w:sz w:val="24"/>
          <w:szCs w:val="24"/>
          <w:lang w:eastAsia="el-GR"/>
        </w:rPr>
      </w:pPr>
      <w:r>
        <w:rPr>
          <w:rFonts w:cs="Courier New" w:ascii="Book Antiqua" w:hAnsi="Book Antiqua"/>
          <w:color w:val="000000"/>
          <w:sz w:val="24"/>
          <w:szCs w:val="24"/>
          <w:lang w:eastAsia="el-GR"/>
        </w:rPr>
        <w:t xml:space="preserve">Το </w:t>
      </w:r>
      <w:r>
        <w:rPr>
          <w:rFonts w:ascii="Book Antiqua" w:hAnsi="Book Antiqua"/>
          <w:color w:val="000000"/>
          <w:sz w:val="24"/>
          <w:szCs w:val="24"/>
          <w:lang w:eastAsia="el-GR"/>
        </w:rPr>
        <w:t>ά</w:t>
      </w:r>
      <w:r>
        <w:rPr>
          <w:rFonts w:cs="Courier New" w:ascii="Book Antiqua" w:hAnsi="Book Antiqua"/>
          <w:color w:val="000000"/>
          <w:sz w:val="24"/>
          <w:szCs w:val="24"/>
          <w:lang w:eastAsia="el-GR"/>
        </w:rPr>
        <w:t>ρθρο 178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«Περιφερειακή Επιτροπή Διαβούλευσης</w:t>
      </w:r>
    </w:p>
    <w:p>
      <w:pPr>
        <w:pStyle w:val="NoSpacing1"/>
        <w:numPr>
          <w:ilvl w:val="0"/>
          <w:numId w:val="10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Σε κάθε περιφέρεια συνιστάται, με απόφαση του περιφερειακού συμβουλίου, που λαμβάνεται εντός δύο (2) μηνών από την εγκατάσταση των περιφερειακών αρχών, Περιφερειακή Επιτροπή Διαβούλευσης ως γνωμοδοτικό όργανο. Η θητεία της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των οργανώσεων εργοδοτών και εργαζομένων,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των επιμελητηρίων και των επιστημονικών οργανώσεων, συλλόγων και φορέων,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των συνεταιριστικών οργανώσεων,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 των εργαζομένων στην περιφέρεια και στα νομικά της πρόσωπα,</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 των αθλητικών και πολιτιστικών συλλόγων και φορέων και</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 οργανώσεων και φορέων της κοινωνίας των πολιτών στην περιφέρεια,</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ζ) πολίτες.</w:t>
      </w:r>
    </w:p>
    <w:p>
      <w:pPr>
        <w:pStyle w:val="NoSpacing1"/>
        <w:spacing w:lineRule="auto" w:line="360"/>
        <w:ind w:left="709" w:hanging="0"/>
        <w:jc w:val="both"/>
        <w:rPr>
          <w:rFonts w:ascii="Book Antiqua" w:hAnsi="Book Antiqua"/>
          <w:sz w:val="24"/>
          <w:szCs w:val="24"/>
          <w:lang w:eastAsia="el-GR"/>
        </w:rPr>
      </w:pPr>
      <w:r>
        <w:rPr>
          <w:rFonts w:ascii="Book Antiqua" w:hAnsi="Book Antiqua"/>
          <w:sz w:val="24"/>
          <w:szCs w:val="24"/>
          <w:lang w:eastAsia="el-GR"/>
        </w:rPr>
        <w:t xml:space="preserve">Ο αριθμός των μελών της Περιφερειακής Επιτροπής Διαβούλευσης που ορίζονται από τους φορείς των περ. α’ έως και στ’ μπορεί να είναι από τριάντα (30) έως εξήντα (60) μέλη. Στην περιφερειακή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pPr>
        <w:pStyle w:val="NoSpacing1"/>
        <w:spacing w:lineRule="auto" w:line="360"/>
        <w:ind w:left="720" w:hanging="0"/>
        <w:jc w:val="both"/>
        <w:rPr>
          <w:rFonts w:ascii="Book Antiqua" w:hAnsi="Book Antiqua"/>
          <w:sz w:val="24"/>
          <w:szCs w:val="24"/>
          <w:lang w:eastAsia="el-GR"/>
        </w:rPr>
      </w:pPr>
      <w:r>
        <w:rPr>
          <w:rFonts w:cs="Courier New" w:ascii="Book Antiqua" w:hAnsi="Book Antiqua"/>
          <w:color w:val="000000"/>
          <w:sz w:val="24"/>
          <w:szCs w:val="24"/>
          <w:lang w:eastAsia="el-GR"/>
        </w:rPr>
        <w:t>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αντιπεριφερειάρχες,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Περιφερειακή Επιτροπή Διαβούλευσης: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Εισηγείται στο περιφερειακό συμβούλιο σχετικά με τις βασικές αναπτυξιακές προτεραιότητες της περιφέρειας.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Γνωμοδοτεί ως προς θέματα γενικότερου περιφερειακού ενδιαφέροντος.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συνεδρίαση της.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Μπορεί να εισηγείται στο περιφερειακό συμβούλιο τη διεξαγωγή περιφερειακού δημοψηφίσματος.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ε) Διατυπώνει απλή γνώμη επί του προσχεδίου του προϋπολογισμού, σύμφωνα με τις διατάξεις της παρ. 3 του άρθρου 78 του ν. 4172/2013.</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Περιφερειακή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τουλάχιστον μια φορά ανά τρίμηνο είτε από τον πρόεδρο της επιτροπής είτε από τους φορείς των περ. α’ έως στ’ της παρ. 1 είτε από το 1/3 των πολιτών που συμμετέχουν στην επιτροπή σύμφωνα με την παρ. ζ’ της παρ. 1 και διατυπώνει τη γνώμη της για τα θέματα που εισάγονται προς συζήτηση. Η σύγκληση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τη γνώμη της μετά από συζήτηση στην οποία αναγράφονται όλες οι γνώμες των μελών της.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Με πρόταση οποιουδήποτε μέλους της επιτροπής και εφ’ όσον αυτή εγκριθεί από το ένα πέμπτο (1/5) των μελών της, μπορεί να συζητηθεί και οποιοδήποτε θέμα εκτός ημερήσιας διάταξης.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πρόσκληση και η ημερήσια διάταξη κάθε συνεδρίασης της περιφερειακής επιτροπής διαβούλευσης αναρτάται στην ιστοσελίδα της περιφέρειας και, με μέριμνα του προέδρου του περιφερειακού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εντός ενός (1) μήνα από τη λήψη τους.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Το περιφερειακό συμβούλιο, εντός τριών (3) μηνών από την εγκατάσταση των περιφερειακών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της περιφέρειας, που δεν ρυθμίζονται στο παρόν».</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ΤΜΗΜΑ Γ’</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Άρθρο 104</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Έναρξη ισχύος Κεφαλαίου Ε’</w:t>
      </w:r>
    </w:p>
    <w:p>
      <w:pPr>
        <w:pStyle w:val="11"/>
        <w:spacing w:lineRule="auto" w:line="360"/>
        <w:jc w:val="both"/>
        <w:rPr>
          <w:rFonts w:ascii="Book Antiqua" w:hAnsi="Book Antiqua"/>
          <w:sz w:val="24"/>
          <w:szCs w:val="24"/>
          <w:lang w:eastAsia="el-GR"/>
        </w:rPr>
      </w:pPr>
      <w:r>
        <w:rPr>
          <w:rFonts w:ascii="Book Antiqua" w:hAnsi="Book Antiqua"/>
          <w:sz w:val="24"/>
          <w:szCs w:val="24"/>
          <w:lang w:eastAsia="el-GR"/>
        </w:rPr>
        <w:t>Οι διατάξεις του Κεφαλαίου Ε’ ισχύουν από την επόμενη αυτοδιοικητική περίοδο.</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ΚΕΦΑΛΑΙΟ ΣΤ’</w:t>
      </w:r>
    </w:p>
    <w:p>
      <w:pPr>
        <w:pStyle w:val="11"/>
        <w:spacing w:lineRule="auto" w:line="360"/>
        <w:jc w:val="center"/>
        <w:rPr>
          <w:rFonts w:ascii="Book Antiqua" w:hAnsi="Book Antiqua" w:cs="Arial"/>
          <w:b/>
          <w:b/>
          <w:sz w:val="24"/>
          <w:szCs w:val="24"/>
        </w:rPr>
      </w:pPr>
      <w:r>
        <w:rPr>
          <w:rFonts w:cs="Arial" w:ascii="Book Antiqua" w:hAnsi="Book Antiqua"/>
          <w:b/>
          <w:sz w:val="24"/>
          <w:szCs w:val="24"/>
        </w:rPr>
        <w:t>ΕΠΟΠΤΕΙΑ ΟΡΓΑΝΙΣΜΩΝ ΤΟΠΙΚΗΣ ΑΥΤΟΔΙΟΙΚΗΣΗΣ</w:t>
      </w:r>
    </w:p>
    <w:p>
      <w:pPr>
        <w:pStyle w:val="11"/>
        <w:spacing w:lineRule="auto" w:line="360"/>
        <w:jc w:val="center"/>
        <w:rPr>
          <w:rStyle w:val="311ptChar"/>
        </w:rPr>
      </w:pPr>
      <w:r>
        <w:rPr/>
      </w:r>
    </w:p>
    <w:p>
      <w:pPr>
        <w:pStyle w:val="11"/>
        <w:spacing w:lineRule="auto" w:line="360"/>
        <w:jc w:val="center"/>
        <w:rPr>
          <w:rStyle w:val="311ptChar"/>
          <w:b/>
          <w:b/>
        </w:rPr>
      </w:pPr>
      <w:r>
        <w:rPr>
          <w:b/>
        </w:rPr>
      </w:r>
    </w:p>
    <w:p>
      <w:pPr>
        <w:pStyle w:val="11"/>
        <w:spacing w:lineRule="auto" w:line="360"/>
        <w:jc w:val="center"/>
        <w:rPr>
          <w:rStyle w:val="311ptChar"/>
          <w:b/>
          <w:b/>
        </w:rPr>
      </w:pPr>
      <w:r>
        <w:rPr>
          <w:rStyle w:val="311ptChar"/>
          <w:b/>
        </w:rPr>
        <w:t>ΤΜΗΜΑ Α’</w:t>
      </w:r>
    </w:p>
    <w:p>
      <w:pPr>
        <w:pStyle w:val="11"/>
        <w:spacing w:lineRule="auto" w:line="360"/>
        <w:jc w:val="center"/>
        <w:rPr>
          <w:rStyle w:val="311ptChar"/>
          <w:b/>
          <w:b/>
        </w:rPr>
      </w:pPr>
      <w:r>
        <w:rPr>
          <w:rStyle w:val="311ptChar"/>
          <w:b/>
        </w:rPr>
        <w:t>ΓΕΝΙΚΕΣ ΑΡΧΕΣ ΚΑΙ ΟΡΓΑΝΑ ΚΡΑΤΙΚΗΣ ΕΠΟΠΤΕΙΑΣ ΕΠΙ ΤΩΝ ΟΤΑ</w:t>
      </w:r>
    </w:p>
    <w:p>
      <w:pPr>
        <w:pStyle w:val="11"/>
        <w:spacing w:lineRule="auto" w:line="360"/>
        <w:jc w:val="center"/>
        <w:rPr>
          <w:rStyle w:val="311ptChar"/>
        </w:rPr>
      </w:pPr>
      <w:r>
        <w:rPr/>
      </w:r>
    </w:p>
    <w:p>
      <w:pPr>
        <w:pStyle w:val="11"/>
        <w:spacing w:lineRule="auto" w:line="360"/>
        <w:jc w:val="center"/>
        <w:rPr>
          <w:rStyle w:val="311ptChar"/>
          <w:b/>
          <w:b/>
        </w:rPr>
      </w:pPr>
      <w:r>
        <w:rPr>
          <w:rStyle w:val="311ptChar"/>
          <w:b/>
        </w:rPr>
        <w:t>Άρθρο 105</w:t>
      </w:r>
    </w:p>
    <w:p>
      <w:pPr>
        <w:pStyle w:val="11"/>
        <w:spacing w:lineRule="auto" w:line="360"/>
        <w:jc w:val="center"/>
        <w:rPr>
          <w:rFonts w:ascii="Book Antiqua" w:hAnsi="Book Antiqua" w:cs="Arial"/>
          <w:b/>
          <w:b/>
          <w:sz w:val="24"/>
          <w:szCs w:val="24"/>
        </w:rPr>
      </w:pPr>
      <w:r>
        <w:rPr>
          <w:rFonts w:cs="Arial" w:ascii="Book Antiqua" w:hAnsi="Book Antiqua"/>
          <w:b/>
          <w:sz w:val="24"/>
          <w:szCs w:val="24"/>
        </w:rPr>
        <w:t>Αρχές – έκταση – περιεχόμενο κρατικής εποπτείας – Αντικατάσταση άρθρου 214 του ν. 3852/2010</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214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sz w:val="24"/>
          <w:szCs w:val="24"/>
        </w:rPr>
      </w:pPr>
      <w:r>
        <w:rPr>
          <w:rFonts w:cs="Arial" w:ascii="Book Antiqua" w:hAnsi="Book Antiqua"/>
          <w:sz w:val="24"/>
          <w:szCs w:val="24"/>
        </w:rPr>
        <w:t>«Αρχές - Έκταση και περιεχόμενο της κρατικής εποπτείας</w:t>
      </w:r>
      <w:r>
        <w:rPr>
          <w:rFonts w:ascii="Book Antiqua" w:hAnsi="Book Antiqua"/>
          <w:sz w:val="24"/>
          <w:szCs w:val="24"/>
        </w:rPr>
        <w:br/>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Το Κράτος ασκεί στους ΟΤΑ και στα νομικά τους πρόσωπα 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περί της σκοπιμότητας της δράσης τους ή να θίγει τη διοικητική και οικονομική αυτοτέλειά τους. Ειδικότερα η κρατική εποπτεία των ΟΤΑ συνίσταται : (α) σε έλεγχο των πράξεων (έλεγχος νομιμότητας)  (β) σε έλεγχο των προσώπων (πειθαρχικός έλεγχος των αιρετών) και (γ) σε παροχή εγκύκλιων οδηγιών και γενικών κατευθύνσεων για την ορθή εξειδίκευση και την ομοιόμορφη εφαρμογή της εκάστοτε νομοθεσίας, ασκείται δε σύμφωνα με τα επόμενα άρθρα.</w:t>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Ο επιτελικός ρόλος του Υπουργείου Εσωτερικών στα θέματα Τοπικής Αυτοδιοίκησης αφορά ιδίως την παροχή εγκύκλιων οδηγιών και γενικών κατευθύνσεων, για την ορθή και ομοιόμορφη εφαρμογή της εκάστοτε ισχύουσας θεσμικής νομοθεσίας περί ΟΤΑ και της νομοθεσίας περί της οργάνωσης, της συγκρότησης και λειτουργίας των οργάνων τους, του προσωπικού, καθώς και των οικονομικών τους.</w:t>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 αρμόδιος δημόσιος φορέας, ο οποίος δεν αποξενώνεται από τη συγκεκριμένη αρμοδιότητά του, λόγω της άσκησης αυτής από τους ΟΤΑ.</w:t>
      </w:r>
    </w:p>
    <w:p>
      <w:pPr>
        <w:pStyle w:val="11"/>
        <w:spacing w:lineRule="auto" w:line="360"/>
        <w:ind w:left="36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36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106</w:t>
      </w:r>
    </w:p>
    <w:p>
      <w:pPr>
        <w:pStyle w:val="11"/>
        <w:spacing w:lineRule="auto" w:line="360"/>
        <w:jc w:val="center"/>
        <w:rPr>
          <w:rFonts w:ascii="Book Antiqua" w:hAnsi="Book Antiqua" w:cs="Arial"/>
          <w:b/>
          <w:b/>
          <w:sz w:val="24"/>
          <w:szCs w:val="24"/>
        </w:rPr>
      </w:pPr>
      <w:r>
        <w:rPr>
          <w:rFonts w:cs="Arial" w:ascii="Book Antiqua" w:hAnsi="Book Antiqua"/>
          <w:b/>
          <w:sz w:val="24"/>
          <w:szCs w:val="24"/>
        </w:rPr>
        <w:t>Αυτοτελής Υπηρεσία Εποπτείας ΟΤΑ – Αντικατάσταση άρθρου 215 του ν. 3852/2010</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215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«Αυτοτελής Υπηρεσία Εποπτείας ΟΤΑ</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Με την επιφύλαξη ειδικότερων διατάξεων, η κατά το άρθρο 214 κρατική εποπτεία των ΟΤΑ ασκείται από τις κατά τόπο αρμόδιες Αυτοτελείς Υπηρεσίες Εποπτείας ΟΤΑ.</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Συστήνονται επτά (7) Αυτοτελείς Υπηρεσίες Εποπτείας ΟΤΑ, οι οποίες αποτελούν αποκεντρωμένες υπηρεσίες του Υπουργείου Εσωτερικών, υπαγόμενες απευθείας στον Υπουργό και είναι αρμόδιες για την εποπτεία των ΟΤΑ, ως εξής:</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Αυτοτελής Υπηρεσία Εποπτείας ΟΤΑ Αττικής, με κατά τόπο αρμοδιότητα που εκτείνεται στα όρια της Περιφέρειας Αττικής και με έδρα την Αθήνα.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Αυτοτελής Υπηρεσία Εποπτείας ΟΤΑ Θεσσαλίας – Στερεάς Ελλάδας, με κατά τόπο αρμοδιότητα που εκτείνεται στα όρια των Περιφερειών Θεσσαλίας και Στερεάς Ελλάδας και με έδρα τη Λάρισα.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δ. Αυτοτελής Υπηρεσία Εποπτείας ΟΤΑ Πελοποννήσου,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 xml:space="preserve">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 </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στ. Αυτοτελής Υπηρεσία Εποπτείας ΟΤΑ Κρήτης, με κατά τόπο αρμοδιότητα που εκτείνεται στα όρια της Περιφέρειας Κρήτης και με έδρα το Ηράκλειο.</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Όταν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ύλην αρμόδιος Υπουργός.</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ύλην αρμόδια Υπουργεία, στο πλαίσιο του επιτελικού τους ρόλου, σύμφωνα με τις παραγράφους 2 και 3 του άρθρου 214.</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107</w:t>
      </w:r>
    </w:p>
    <w:p>
      <w:pPr>
        <w:pStyle w:val="11"/>
        <w:spacing w:lineRule="auto" w:line="360"/>
        <w:jc w:val="center"/>
        <w:rPr>
          <w:rStyle w:val="311ptChar"/>
          <w:b/>
          <w:b/>
        </w:rPr>
      </w:pPr>
      <w:r>
        <w:rPr>
          <w:rStyle w:val="311ptChar"/>
          <w:b/>
        </w:rPr>
        <w:t>Επόπτης ΟΤΑ – Αντικατάσταση άρθρου 216 του ν. 3852/210</w:t>
      </w:r>
    </w:p>
    <w:p>
      <w:pPr>
        <w:pStyle w:val="Normal"/>
        <w:spacing w:lineRule="auto" w:line="360"/>
        <w:rPr>
          <w:rFonts w:ascii="Book Antiqua" w:hAnsi="Book Antiqua"/>
          <w:sz w:val="24"/>
          <w:szCs w:val="24"/>
        </w:rPr>
      </w:pPr>
      <w:r>
        <w:rPr>
          <w:rFonts w:ascii="Book Antiqua" w:hAnsi="Book Antiqua"/>
          <w:sz w:val="24"/>
          <w:szCs w:val="24"/>
        </w:rPr>
        <w:t>Το άρθρο 216 του ν. 3852/2010 αντικαθίσταται ως εξής:</w:t>
      </w:r>
    </w:p>
    <w:p>
      <w:pPr>
        <w:pStyle w:val="11"/>
        <w:spacing w:lineRule="auto" w:line="360"/>
        <w:jc w:val="both"/>
        <w:rPr>
          <w:rStyle w:val="311ptChar"/>
          <w:b/>
          <w:b/>
        </w:rPr>
      </w:pPr>
      <w:r>
        <w:rPr>
          <w:b/>
        </w:rPr>
      </w:r>
    </w:p>
    <w:p>
      <w:pPr>
        <w:pStyle w:val="11"/>
        <w:spacing w:lineRule="auto" w:line="360"/>
        <w:jc w:val="center"/>
        <w:rPr>
          <w:rFonts w:ascii="Book Antiqua" w:hAnsi="Book Antiqua" w:cs="Arial"/>
          <w:sz w:val="24"/>
          <w:szCs w:val="24"/>
        </w:rPr>
      </w:pPr>
      <w:r>
        <w:rPr>
          <w:rFonts w:cs="Arial" w:ascii="Book Antiqua" w:hAnsi="Book Antiqua"/>
          <w:sz w:val="24"/>
          <w:szCs w:val="24"/>
        </w:rPr>
        <w:t>«Επόπτης ΟΤΑ</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 xml:space="preserve">Σε κάθε Αυτοτελή Υπηρεσία Εποπτείας Ο.Τ.Α. συστήνεται θέση προϊσταμένου αυτής, της κατηγορίας </w:t>
      </w:r>
      <w:r>
        <w:rPr>
          <w:rFonts w:cs="Arial" w:ascii="Book Antiqua" w:hAnsi="Book Antiqua"/>
          <w:color w:val="000000"/>
          <w:sz w:val="24"/>
          <w:szCs w:val="24"/>
        </w:rPr>
        <w:t>ειδικών θέσεων πρώτου βαθμού</w:t>
      </w:r>
      <w:r>
        <w:rPr>
          <w:rFonts w:cs="Arial" w:ascii="Book Antiqua" w:hAnsi="Book Antiqua"/>
          <w:sz w:val="24"/>
          <w:szCs w:val="24"/>
        </w:rPr>
        <w:t xml:space="preserve">, που φέρει τον τίτλο «Επόπτης ΟΤΑ». Ο Επόπτης διορίζεται με τετραετή θητεία, η οποία μπορεί να ανανεώνεται, με τη διαδικασία των επόμενων παραγράφων. </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β) είτε διδακτορικό ή μεταπτυχιακό δίπλωμα ελληνικού Α.Ε.Ι. ή ισότιμο της αλλοδαπής στο γνωστικό αντικείμενο του δημοσίου δικαίου  είτε δεκαετής δικηγορική εμπειρία και γ) άριστη ή πολύ καλή γνώση μιας τουλάχιστον ξένης γλώσσας.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Ο 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Η επιλογή του Επόπτη ΟΤΑ γίνεται, μετά από προκήρυξη του Υπουργού Εσωτερικών, από το Ειδικό Συμβούλιο Επιλογής Διοικήσεων (Ε.Σ.Ε.Δ) με τη διαδικασία της παραγράφου 1 του άρθρου 7 του νόμου 4369/2016 (Α’ 33). Υποψήφιοι μπορούν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Δεν μπορούν να είναι υποψήφιοι για τη θέση του Επόπτη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α) Όσοι δεν μπορούν να εγγραφούν στο Μητρώο Επιτελικών Στελεχών Δημόσιας Διοίκησης, σύμφωνα με την παρ. 2 του άρθρου 2 του ν. 4369/2016.</w:t>
      </w:r>
    </w:p>
    <w:p>
      <w:pPr>
        <w:pStyle w:val="21"/>
        <w:spacing w:lineRule="auto" w:line="360"/>
        <w:ind w:left="720" w:hanging="0"/>
        <w:jc w:val="both"/>
        <w:rPr>
          <w:rFonts w:ascii="Book Antiqua" w:hAnsi="Book Antiqua" w:cs="Arial"/>
          <w:sz w:val="24"/>
          <w:szCs w:val="24"/>
        </w:rPr>
      </w:pPr>
      <w:r>
        <w:rPr>
          <w:rFonts w:cs="Arial" w:ascii="Book Antiqua" w:hAnsi="Book Antiqua"/>
          <w:sz w:val="24"/>
          <w:szCs w:val="24"/>
        </w:rPr>
        <w:t>β) Όσοι έχουν διατελέσει αιρετοί, έως και πέντε (5) χρόνια πριν την έκδοση της σχετικής προκήρυξης σε οποιοδήποτε αυτοδιοικητικό αξίωμα εντός των ορίων της χωρικής αρμοδιότητας της οικείας Αυτοτελούς Υπηρεσίας Εποπτείας ΟΤΑ, ακόμα και αν παραιτηθούν του αιρετού αξιώματός τους,</w:t>
      </w:r>
    </w:p>
    <w:p>
      <w:pPr>
        <w:pStyle w:val="21"/>
        <w:spacing w:lineRule="auto" w:line="360"/>
        <w:ind w:left="720" w:hanging="0"/>
        <w:jc w:val="both"/>
        <w:rPr>
          <w:rFonts w:ascii="Book Antiqua" w:hAnsi="Book Antiqua" w:cs="Arial"/>
          <w:sz w:val="24"/>
          <w:szCs w:val="24"/>
        </w:rPr>
      </w:pPr>
      <w:r>
        <w:rPr>
          <w:rFonts w:ascii="Book Antiqua" w:hAnsi="Book Antiqua"/>
          <w:sz w:val="24"/>
          <w:szCs w:val="24"/>
        </w:rPr>
        <w:t>γ) Οι διατελέσαντες δικαστικοί λειτουργοί και οι αξιωματικοί των ενόπλων δυνάμεων και των σωμάτων ασφαλείας.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108</w:t>
      </w:r>
    </w:p>
    <w:p>
      <w:pPr>
        <w:pStyle w:val="Normal"/>
        <w:spacing w:lineRule="auto" w:line="360"/>
        <w:jc w:val="center"/>
        <w:rPr>
          <w:rFonts w:ascii="Book Antiqua" w:hAnsi="Book Antiqua"/>
          <w:b/>
          <w:b/>
          <w:sz w:val="24"/>
          <w:szCs w:val="24"/>
        </w:rPr>
      </w:pPr>
      <w:r>
        <w:rPr>
          <w:rFonts w:ascii="Book Antiqua" w:hAnsi="Book Antiqua"/>
          <w:b/>
          <w:sz w:val="24"/>
          <w:szCs w:val="24"/>
        </w:rPr>
        <w:t>Προσωπικό Αυτοτελούς Υπηρεσίας Εποπτείας ΟΤΑ</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217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«Προσωπικό Αυτοτελούς Υπηρεσίας Εποπτείας ΟΤΑ</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Σε κάθε Αυτοτελή Υπηρεσία Εποπτείας Ο.Τ.Α. συνιστώνται, με το προεδρικό διάταγμα της παρ. 3 του άρθρου 218, θέσεις μονίμων υπαλλήλων κατηγοριών ΠΕ, ΤΕ, ΔΕ και ΥΕ, οι οποίοι διορίζονται σύμφωνα με τις διατάξεις του ν. 2190/1994, όπως ισχύει, καθώς και θέσεις δικηγόρων με σχέση έμμισθης εντολής, έως δέκα (10) για την Αυτοτελή Υπηρεσία Εποπτείας ΟΤΑ Αττικής και έως πέντε (5) για τις υπόλοιπες Αυτοτελείς Υπηρεσίες Εποπτείας ΟΤΑ.  </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Για διορισμό στις θέσεις της κατηγορίας ΠΕ απαιτείται: α) πτυχίο νομικής ή πολιτικής επιστήμης ή διοικητικής επιστήμης ή οικονομικών επιστημών ή πολυτεχνικών σχολών ελληνικού Α.Ε.Ι. ή ισότιμο της αλλοδαπής και 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σχολών δεν υπερβαίνουν το ένα τρίτο (1/3) του συνολικού αριθμού των θέσεων της κατηγορίας ΠΕ σε κάθε Αυτοτελή Υπηρεσία Εποπτείας ΟΤΑ.</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Για το διορισμό στη θέση του δικηγόρου με σχέση έμμισθης εντολής, απαιτείται μεταπτυχιακό δίπλωμα ελληνικού Α.Ε.Ι. ή ισότιμο της αλλοδαπής στο γνωστικό αντικείμενο του δημοσίου δικαίου ή της διοικητικής επιστήμης και πενταετής, τουλάχιστον, δικηγορική εμπειρία. Ο διορισμός δικηγόρου σε θέση δικηγόρου με σχέση έμμισθης εντολής γίνεται με τη διαδικασία της παραγράφου 2 του άρθρου 43 του νόμου 4194/2013 «Κώδικας Δικηγόρων» (Α’ 208), δεν αποτελεί λόγο ασυμβιβάστου, αναστέλλει όμως την άσκηση του δικηγορικού λειτουργήματος κατά τη διάρκεια της θητείας του.</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Η Αυτοτελής Υπηρεσία Εποπτείας ΟΤΑ μπορεί να στελεχώνεται και με απόσπαση ή μετάταξη προσωπικού από άλλους φορείς του δημοσίου τομέα, όπως αυτός ορίζεται στην παράγραφο 1 του άρθρου 6 του νόμου 1256/1982, με εξαίρεση τους ΟΤΑ και τα νομικά πρόσωπα αυτών. </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Η μετάταξη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διατάξεις του Υπαλληλικού Κώδικα.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Άρθρο 109</w:t>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Διάρθρωση – οργάνωση Αυτοτελούς Υπηρεσίας Εποπτείας ΟΤΑ – Αντικατάσταση άρθρου 218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218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Normal"/>
        <w:jc w:val="center"/>
        <w:rPr>
          <w:rFonts w:ascii="Book Antiqua" w:hAnsi="Book Antiqua"/>
          <w:sz w:val="24"/>
          <w:szCs w:val="24"/>
        </w:rPr>
      </w:pPr>
      <w:r>
        <w:rPr>
          <w:rFonts w:ascii="Book Antiqua" w:hAnsi="Book Antiqua"/>
          <w:sz w:val="24"/>
          <w:szCs w:val="24"/>
        </w:rPr>
        <w:t>«Διάρθρωση – Οργάνωση Αυτοτελούς Υπηρεσίας Εποπτείας ΟΤΑ</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έχει την ακόλουθη βασική οργανωτική διάρθρωση:</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Επόπτης ΟΤΑ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Διεύθυνση Εποπτείας Ο.Τ.Α.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Διεύθυνσης Εποπτείας ΟΤΑ και διατυπώνει γνώμη για κάθε νομικό ζήτημα που του τίθεται από τον Επόπτη και τη Διεύθυνση Εποπτείας ΟΤΑ.</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Σε κάθε νομό της χωρικής περιφέρειας κάθε Αυτοτελούς Υπηρεσίας Εποπτείας ΟΤΑ, πλην του νομού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Τμημάτων αυτής.</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προεδρικό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Αυτοτελούς Υπηρεσίας Εποπτείας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Άρθρο 110</w:t>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Υπηρεσιακές μεταβολές – πειθαρχικός έλεγχος – Αντικατάσταση άρθρου 220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220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«Υπηρεσιακές μεταβολές – Πειθαρχικός έλεγχος</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Στον Επόπτη ΟΤΑ επιβάλλονται οι εξής πειθαρχικές ποινές: α) η έγγραφη επίπληξη, β) το πρόστιμο έως τις αποδοχές τριών (3) μηνών, γ) η οριστική παύση.</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 xml:space="preserve">Την πειθαρχική εξουσία επί του Επόπτη ΟΤΑ ασκεί ο Υπουργός Εσωτερικών. Ο Υπουργός Εσωτερικών μπορεί να επιβάλλει στον Επόπτη ΟΤΑ την ποινή του προστίμου έως τις αποδοχές τριών (3) μηνών. Για σοβαρά πειθαρχικά παραπτώματα στην άσκηση των καθηκόντων του, καθώς και σε περιπτώσεις αντικειμενικής αδυναμίας άσκησης των καθηκόντων του ή μετά από αίτηση παραίτησης, ο Υπουργός Εσωτερικών παύει από τη θέση του τον Επόπτη ΟΤΑ, ύστερα από σύμφωνη γνώμη του Δευτεροβάθμιου Πειθαρχικού Συμβουλίου. </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Κατά της απόφασης του Υπουργού Εσωτερικών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 xml:space="preserve">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προηγούμενη παράγραφο,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 </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Αρμόδιο υπηρεσιακό συμβούλιο για τα θέματα που αφορούν το προσωπικό των Αυτοτελών Υπηρεσιών Εποπτείας ΟΤΑ είναι το οικείο Συμβούλιο του Υπουργείου Εσωτερικών.</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Την πειθαρχική εξουσία στους υπαλλήλους που υπηρετούν στην Αυτοτελή Υπηρεσία Εποπτείας Ο.Τ.Α. ασκούν:</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α. Ο Προϊστάμενος της Διεύθυνσης Εποπτείας Ο.Τ.Α..</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β. Ο Επόπτης ΟΤΑ</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γ. Ο Υπουργός Εσωτερικών</w:t>
      </w:r>
    </w:p>
    <w:p>
      <w:pPr>
        <w:pStyle w:val="11"/>
        <w:spacing w:lineRule="auto" w:line="360"/>
        <w:ind w:left="993" w:hanging="284"/>
        <w:jc w:val="both"/>
        <w:rPr>
          <w:rFonts w:ascii="Book Antiqua" w:hAnsi="Book Antiqua" w:cs="Arial"/>
          <w:sz w:val="24"/>
          <w:szCs w:val="24"/>
        </w:rPr>
      </w:pPr>
      <w:r>
        <w:rPr>
          <w:rFonts w:cs="Arial" w:ascii="Book Antiqua" w:hAnsi="Book Antiqua"/>
          <w:sz w:val="24"/>
          <w:szCs w:val="24"/>
        </w:rPr>
        <w:t>δ. Το κοινό Πειθαρχικό Συμβούλιο των υπαλλήλων του Υπουργείου Εσωτερικών, των Αποκεντρωμένων Διοικήσεων και των φορέων που υπάγονται σε αυτές.</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Κατά τα λοιπά εφαρμόζονται, ως προς το προσωπικό της Αυτοτελούς Υπηρεσίας ΟΤΑ, οι διατάξεις του Υπαλληλικού Κώδικα.</w:t>
      </w:r>
    </w:p>
    <w:p>
      <w:pPr>
        <w:pStyle w:val="11"/>
        <w:spacing w:lineRule="auto" w:line="360"/>
        <w:jc w:val="center"/>
        <w:rPr>
          <w:rStyle w:val="311ptChar"/>
        </w:rPr>
      </w:pPr>
      <w:r>
        <w:rPr/>
      </w:r>
    </w:p>
    <w:p>
      <w:pPr>
        <w:pStyle w:val="11"/>
        <w:spacing w:lineRule="auto" w:line="360"/>
        <w:jc w:val="center"/>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111</w:t>
      </w:r>
    </w:p>
    <w:p>
      <w:pPr>
        <w:pStyle w:val="Normal"/>
        <w:spacing w:lineRule="auto" w:line="360"/>
        <w:jc w:val="center"/>
        <w:rPr>
          <w:rFonts w:ascii="Book Antiqua" w:hAnsi="Book Antiqua"/>
          <w:b/>
          <w:b/>
          <w:sz w:val="24"/>
          <w:szCs w:val="24"/>
        </w:rPr>
      </w:pPr>
      <w:r>
        <w:rPr>
          <w:rFonts w:ascii="Book Antiqua" w:hAnsi="Book Antiqua"/>
          <w:b/>
          <w:sz w:val="24"/>
          <w:szCs w:val="24"/>
        </w:rPr>
        <w:t>Συμβούλιο Εποπτών ΟΤΑ</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223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«Συμβούλιο Εποπτών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Στο Υπουργείο Εσωτερικών συστήνεται Συμβούλιο Εποπτών ΟΤΑ, το οποίο αποτελείται από τους επτά (7) Επόπτες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Το Συμβούλιο εκλέγει τον Πρόεδρό του μεταξύ των μελών του για θητεία δύο (2) ετών.</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Οι αποφάσεις του Συμβουλίου έχουν εισηγητικό και γνωμοδοτικό χαρακτήρα και δεν δεσμεύουν τα μέλη του κατά την άσκηση των καθηκόντων τους.</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Το Συμβούλιο Εποπτών ΟΤΑ μπορεί να εισηγείται στον καθ’ ύλην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 Η γνώμη του Νομικού Συμβουλίου του Κράτους για τα ζητήματα αυτά είναι υποχρεωτική, εφόσον γίνει δεκτή από τον αρμόδιο Υπουργό.</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Διοικητική υποστήριξη στο Συμβούλιο Εποπτών ΟΤΑ παρέχει η αρμόδια υπηρεσία του Υπουργείου Εσωτερικών.</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καταρτίζεται  Κανονισμός Λειτουργίας του Συμβουλίου Εποπτών ΟΤΑ, ύστερα από πρόταση αυτού.</w:t>
      </w:r>
    </w:p>
    <w:p>
      <w:pPr>
        <w:pStyle w:val="11"/>
        <w:spacing w:lineRule="auto" w:line="360"/>
        <w:rPr>
          <w:rStyle w:val="311ptChar"/>
        </w:rPr>
      </w:pPr>
      <w:r>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112</w:t>
      </w:r>
    </w:p>
    <w:p>
      <w:pPr>
        <w:pStyle w:val="Normal"/>
        <w:spacing w:lineRule="auto" w:line="360"/>
        <w:jc w:val="center"/>
        <w:rPr>
          <w:rFonts w:ascii="Book Antiqua" w:hAnsi="Book Antiqua"/>
          <w:b/>
          <w:b/>
          <w:sz w:val="24"/>
          <w:szCs w:val="24"/>
        </w:rPr>
      </w:pPr>
      <w:r>
        <w:rPr>
          <w:rFonts w:ascii="Book Antiqua" w:hAnsi="Book Antiqua"/>
          <w:b/>
          <w:sz w:val="24"/>
          <w:szCs w:val="24"/>
        </w:rPr>
        <w:t>Επιτροπή Συντονισμού και Ελέγχου Εποπτείας ΟΤΑ</w:t>
      </w:r>
    </w:p>
    <w:p>
      <w:pPr>
        <w:pStyle w:val="11"/>
        <w:spacing w:lineRule="auto" w:line="360"/>
        <w:jc w:val="both"/>
        <w:rPr>
          <w:rFonts w:ascii="Book Antiqua" w:hAnsi="Book Antiqua" w:cs="Arial"/>
          <w:sz w:val="24"/>
          <w:szCs w:val="24"/>
        </w:rPr>
      </w:pPr>
      <w:r>
        <w:rPr>
          <w:rFonts w:cs="Arial" w:ascii="Book Antiqua" w:hAnsi="Book Antiqua"/>
          <w:sz w:val="24"/>
          <w:szCs w:val="24"/>
        </w:rPr>
        <w:t>Στο ν. 3852/2010 τίθεται άρθρο 223Α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olor w:val="FF0000"/>
          <w:sz w:val="24"/>
          <w:szCs w:val="24"/>
        </w:rPr>
      </w:pPr>
      <w:r>
        <w:rPr>
          <w:rFonts w:cs="Arial" w:ascii="Book Antiqua" w:hAnsi="Book Antiqua"/>
          <w:sz w:val="24"/>
          <w:szCs w:val="24"/>
        </w:rPr>
        <w:t>«Επιτροπή Συντονισμού και Ελέγχου Εποπτείας ΟΤΑ</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Στο Υπουργείο Εσωτερικών συγκροτείται,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 xml:space="preserve">Αποστολή της Επιτροπής της προηγούμενης παραγράφου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και η εν γένει παρακολούθηση και η μέριμνα για τη διαρκή αναβάθμιση της αποτελεσματικότητα της κρατικής εποπτείας επί των ΟΤΑ. </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καταρτίζεται ο Κανονισμός Λειτουργίας της Επιτροπής Συντονισμού και Ελέγχου Εποπτείας ΟΤΑ που καθορίζει και τις αναγκαίες λεπτομέρειες για ζητήματα υποστήριξης της Επιτροπής.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ΤΜΗΜΑ Β’</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ΕΛΕΓΧΟΣ ΝΟΜΙΜΟΤΗΤΑΣ ΤΩΝ ΠΡΑΞΕΩΝ ΤΩΝ ΟΤΑ</w:t>
      </w:r>
    </w:p>
    <w:p>
      <w:pPr>
        <w:pStyle w:val="Normal"/>
        <w:spacing w:lineRule="auto" w:line="360" w:before="0" w:after="0"/>
        <w:jc w:val="center"/>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b/>
          <w:b/>
          <w:sz w:val="24"/>
          <w:szCs w:val="24"/>
        </w:rPr>
      </w:pPr>
      <w:r>
        <w:rPr>
          <w:rFonts w:ascii="Book Antiqua" w:hAnsi="Book Antiqua"/>
          <w:b/>
          <w:sz w:val="24"/>
          <w:szCs w:val="24"/>
        </w:rPr>
        <w:t>Άρθρο 113</w:t>
      </w:r>
    </w:p>
    <w:p>
      <w:pPr>
        <w:pStyle w:val="11"/>
        <w:spacing w:lineRule="auto" w:line="360"/>
        <w:jc w:val="both"/>
        <w:rPr>
          <w:rStyle w:val="311ptChar"/>
        </w:rPr>
      </w:pPr>
      <w:r>
        <w:rPr>
          <w:rStyle w:val="311ptChar"/>
        </w:rPr>
        <w:t>Το άρθρο 225 του ν. 3852/2010 αντικαθίσταται ως εξής:</w:t>
      </w:r>
    </w:p>
    <w:p>
      <w:pPr>
        <w:pStyle w:val="11"/>
        <w:spacing w:lineRule="auto" w:line="360"/>
        <w:jc w:val="both"/>
        <w:rPr>
          <w:rStyle w:val="311ptChar"/>
        </w:rPr>
      </w:pPr>
      <w:r>
        <w:rPr/>
      </w:r>
    </w:p>
    <w:p>
      <w:pPr>
        <w:pStyle w:val="11"/>
        <w:spacing w:lineRule="auto" w:line="360"/>
        <w:jc w:val="center"/>
        <w:rPr>
          <w:rStyle w:val="311ptChar"/>
        </w:rPr>
      </w:pPr>
      <w:r>
        <w:rPr>
          <w:rStyle w:val="311ptChar"/>
        </w:rPr>
        <w:t>«Υποχρεωτικός Έλεγχος Νομιμότητας</w:t>
      </w:r>
    </w:p>
    <w:p>
      <w:pPr>
        <w:pStyle w:val="11"/>
        <w:numPr>
          <w:ilvl w:val="0"/>
          <w:numId w:val="19"/>
        </w:numPr>
        <w:spacing w:lineRule="auto" w:line="360"/>
        <w:ind w:left="709" w:hanging="360"/>
        <w:jc w:val="both"/>
        <w:rPr>
          <w:rStyle w:val="311ptChar"/>
          <w:color w:val="00B050"/>
        </w:rPr>
      </w:pPr>
      <w:r>
        <w:rPr>
          <w:rStyle w:val="311ptChar"/>
        </w:rPr>
        <w:t>Οι αποφάσεις των συλλογικών οργάνων των δήμων και των περιφερειών, καθώς και των ΝΠΔΔ αυτών, αποστέλλονται υποχρεωτικά για έλεγχο νομιμότητας στην Αυτοτελή Υπηρεσία Εποπτείας Ο.Τ.Α., εφόσον αφορούν: α) ρυθμίσεις κανονιστικού περιεχομένου, β) την ανάθεση έργων, υπηρεσιών, μελετών και προμηθειών, εάν το τίμημα υπερβαίνει το ποσό των εκατόν είκοσι χιλιάδων (120.000) ευρώ μη συμπεριλαμβανομένου του Φ.Π.Α., γ) την αγορά και εκποίηση, λόγω πώλησης ή δωρεάς κατά κυριότητα, ακινήτων, δ) την κήρυξη αναγκαστικών απαλλοτριώσεων, ε) τη μίσθωση ακινήτων από τρίτους,  στ) τη σύναψη πάσης φύσεως δανείων ζ) την ίδρυση πάσης φύσεως νομικών προσώπων, τη συμμετοχή σε υφιστάμενα νομικά πρόσωπα, καθώς και τη λύση και θέση σε εκκαθάριση νομικών προσώπων σύμφωνα με την κείμενη νομοθεσία, η) τη σύναψη προγραμματικών συμβάσεων, με την επιφύλαξη του τελευταίου εδαφίου της περ. α’ της παρ. 1 του άρθρου 100 και θ) τη διεξαγωγή δημοτικού ή περιφερειακού δημοψηφίσματος.</w:t>
      </w:r>
    </w:p>
    <w:p>
      <w:pPr>
        <w:pStyle w:val="11"/>
        <w:spacing w:lineRule="auto" w:line="360"/>
        <w:ind w:left="709" w:hanging="0"/>
        <w:jc w:val="both"/>
        <w:rPr>
          <w:rStyle w:val="311ptChar"/>
        </w:rPr>
      </w:pPr>
      <w:r>
        <w:rPr>
          <w:rStyle w:val="311ptChar"/>
        </w:rPr>
        <w:t>Στην Αυτοτελή Υπηρεσία Εποπτείας ΟΤΑ αποστέλλονται προς έλεγχο νομιμότητας και οι αποφάσεις των κοινωφελών επιχειρήσεων, των ΔΕΥΑ και των μονομετοχικών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εκατόν είκοσι χιλιάδων (120.000) ευρώ μη συμπεριλαμβανομένου του Φ.Π.Α στ) μίσθωση ακινήτων από τρίτους και ζ) τη σύναψη προγραμματικών συμβάσεων, με την επιφύλαξη της περ. α’ της παρ. 1 του άρθρου 100. Επίσης, αποστέλλονται προς έλεγχο νομιμότητας οι αποφάσεις και ο προϋπολογισμός των Περιφερειακών Ταμείων Ανάπτυξης. Οι ετήσιες οικονομικές καταστάσεις αυτών κοινοποιούνται στην Αυτοτελή Υπηρεσία Εποπτείας Ο.Τ.Α.</w:t>
      </w:r>
    </w:p>
    <w:p>
      <w:pPr>
        <w:pStyle w:val="11"/>
        <w:numPr>
          <w:ilvl w:val="0"/>
          <w:numId w:val="19"/>
        </w:numPr>
        <w:spacing w:lineRule="auto" w:line="360"/>
        <w:jc w:val="both"/>
        <w:rPr>
          <w:rStyle w:val="311ptChar"/>
        </w:rPr>
      </w:pPr>
      <w:r>
        <w:rPr>
          <w:rStyle w:val="311ptChar"/>
        </w:rPr>
        <w:t>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και οι ανωτέρω επιχειρήσεις τους υποχρεούνται να διαβιβάζουν αμελλητί και κάθε επιπλέον στοιχείο που ζητείται από την Αυτοτελή Υπηρεσία Εποπτείας Ο.Τ.Α.</w:t>
      </w:r>
    </w:p>
    <w:p>
      <w:pPr>
        <w:pStyle w:val="11"/>
        <w:numPr>
          <w:ilvl w:val="0"/>
          <w:numId w:val="19"/>
        </w:numPr>
        <w:spacing w:lineRule="auto" w:line="360"/>
        <w:jc w:val="both"/>
        <w:rPr>
          <w:rStyle w:val="311ptChar"/>
        </w:rPr>
      </w:pPr>
      <w:r>
        <w:rPr>
          <w:rStyle w:val="311ptChar"/>
        </w:rPr>
        <w:t>Ο Επόπτης Ο.Τ.Α. ελέγχει τη νομιμότητα της απόφασης μέσα σε αποκλειστική προθεσμία τριάντα (30) ημερών από την περιέλευσή της στην Αυτοτελή Υπηρεσία Εποπτείας Ο.Τ.Α. και εκδίδει υποχρεωτικά ειδική πράξη. Η μη έκδοση της ειδικής πράξης του προηγούμενου εδαφίου συνιστά πειθαρχικό παράπτωμα του Επόπτη ΟΤΑ. Σε περίπτωση που διαπιστωθεί ότι η ελεγχόμενη απόφαση είναι παράνομη, τότε αυτή ακυρώνεται.</w:t>
      </w:r>
    </w:p>
    <w:p>
      <w:pPr>
        <w:pStyle w:val="11"/>
        <w:numPr>
          <w:ilvl w:val="0"/>
          <w:numId w:val="19"/>
        </w:numPr>
        <w:spacing w:lineRule="auto" w:line="360"/>
        <w:jc w:val="both"/>
        <w:rPr>
          <w:rStyle w:val="311ptChar"/>
        </w:rPr>
      </w:pPr>
      <w:r>
        <w:rPr>
          <w:rStyle w:val="311ptChar"/>
        </w:rPr>
        <w:t xml:space="preserve">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 για την παρακολούθηση και υλοποίηση των σχετικών συστάσεων ή πορισμάτων». </w:t>
      </w:r>
    </w:p>
    <w:p>
      <w:pPr>
        <w:pStyle w:val="11"/>
        <w:spacing w:lineRule="auto" w:line="360"/>
        <w:ind w:left="720" w:hanging="0"/>
        <w:jc w:val="both"/>
        <w:rPr>
          <w:rStyle w:val="311ptChar"/>
          <w:b/>
          <w:b/>
        </w:rPr>
      </w:pPr>
      <w:r>
        <w:rPr>
          <w:b/>
        </w:rPr>
      </w:r>
    </w:p>
    <w:p>
      <w:pPr>
        <w:pStyle w:val="11"/>
        <w:spacing w:lineRule="auto" w:line="360"/>
        <w:ind w:left="720" w:hanging="0"/>
        <w:jc w:val="both"/>
        <w:rPr>
          <w:rStyle w:val="311ptChar"/>
          <w:b/>
          <w:b/>
          <w:highlight w:val="green"/>
        </w:rPr>
      </w:pPr>
      <w:r>
        <w:rPr>
          <w:b/>
          <w:highlight w:val="green"/>
        </w:rPr>
      </w:r>
    </w:p>
    <w:p>
      <w:pPr>
        <w:pStyle w:val="11"/>
        <w:spacing w:lineRule="auto" w:line="360"/>
        <w:jc w:val="center"/>
        <w:rPr>
          <w:rStyle w:val="311ptChar"/>
          <w:b/>
          <w:b/>
        </w:rPr>
      </w:pPr>
      <w:r>
        <w:rPr>
          <w:rStyle w:val="311ptChar"/>
          <w:b/>
        </w:rPr>
        <w:t>Άρθρο 114</w:t>
      </w:r>
    </w:p>
    <w:p>
      <w:pPr>
        <w:pStyle w:val="11"/>
        <w:spacing w:lineRule="auto" w:line="360"/>
        <w:jc w:val="center"/>
        <w:rPr>
          <w:rStyle w:val="311ptChar"/>
          <w:b/>
          <w:b/>
        </w:rPr>
      </w:pPr>
      <w:r>
        <w:rPr>
          <w:rStyle w:val="311ptChar"/>
          <w:b/>
        </w:rPr>
        <w:t>Αυτεπάγγελτος έλεγχος νομιμότητας – Αντικατάσταση άρθρου 226 του ν. 3852/2010</w:t>
      </w:r>
    </w:p>
    <w:p>
      <w:pPr>
        <w:pStyle w:val="11"/>
        <w:spacing w:lineRule="auto" w:line="360"/>
        <w:jc w:val="both"/>
        <w:rPr>
          <w:rStyle w:val="311ptChar"/>
        </w:rPr>
      </w:pPr>
      <w:r>
        <w:rPr>
          <w:rStyle w:val="311ptChar"/>
        </w:rPr>
        <w:t>Το άρθρο 226 του ν. 3852/2010 αντικαθίσταται ως εξής:</w:t>
      </w:r>
    </w:p>
    <w:p>
      <w:pPr>
        <w:pStyle w:val="11"/>
        <w:spacing w:lineRule="auto" w:line="360"/>
        <w:jc w:val="both"/>
        <w:rPr>
          <w:rStyle w:val="311ptChar"/>
        </w:rPr>
      </w:pPr>
      <w:r>
        <w:rPr/>
      </w:r>
    </w:p>
    <w:p>
      <w:pPr>
        <w:pStyle w:val="11"/>
        <w:spacing w:lineRule="auto" w:line="360"/>
        <w:jc w:val="center"/>
        <w:rPr>
          <w:rFonts w:ascii="Book Antiqua" w:hAnsi="Book Antiqua" w:cs="Arial"/>
          <w:sz w:val="24"/>
          <w:szCs w:val="24"/>
        </w:rPr>
      </w:pPr>
      <w:r>
        <w:rPr>
          <w:rFonts w:cs="Arial" w:ascii="Book Antiqua" w:hAnsi="Book Antiqua"/>
          <w:sz w:val="24"/>
          <w:szCs w:val="24"/>
        </w:rPr>
        <w:t>«Αυτεπάγγελτος έλεγχος νομιμότητας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τριών (3) μηνών αφότου η απόφαση έχει δημοσιευθεί ή εκδοθεί.</w:t>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Οι δήμοι, οι περιφέρειες, οι σύνδεσμοι και τα νομικά πρόσωπα αυτών υποχρεούνται να παρέχουν αμελλητί κάθε στοιχείο που ζητείται από την Αυτοτελή Υπηρεσία Εποπτείας ΟΤΑ με σκοπό την άσκηση του ελέγχου νομιμότητας.</w:t>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η οποία εκδίδεται έπειτα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Αυτοτελής Υπηρεσία Εποπτείας ΟΤΑ θα λαμβάνει γνώση των εκδιδόμενων πράξεων, η μέθοδος ανάρτησης ή ηλεκτρονικής διακίνησης της σχετικής αλληλογραφίας, καθώς και κάθε άλλη αναγκαία λεπτομέρεια»</w:t>
      </w:r>
      <w:r>
        <w:rPr>
          <w:rFonts w:cs="Arial" w:ascii="Book Antiqua" w:hAnsi="Book Antiqua"/>
          <w:color w:val="333333"/>
          <w:sz w:val="24"/>
          <w:szCs w:val="24"/>
        </w:rPr>
        <w:t>.</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115</w:t>
      </w:r>
    </w:p>
    <w:p>
      <w:pPr>
        <w:pStyle w:val="11"/>
        <w:spacing w:lineRule="auto" w:line="360"/>
        <w:jc w:val="center"/>
        <w:rPr>
          <w:rStyle w:val="311ptChar"/>
          <w:b/>
          <w:b/>
        </w:rPr>
      </w:pPr>
      <w:r>
        <w:rPr>
          <w:rStyle w:val="311ptChar"/>
          <w:b/>
        </w:rPr>
        <w:t>Ειδική διοικητική προσφυγή - Αντικατάσταση άρθρου 227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227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«Ειδική διοικητική προσφυγή</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ανάρτηση της στο διαδίκτυο ή από την κοινοποίηση της ή αφότου έλαβε γνώση αυτής.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Σε περίπτωση υποβολής αίτησης θεραπείας κατά των αποφάσεων ή των παραλείψεων της προηγούμενης παραγράφου,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Έννομο συμφέρον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Έννομο συμφέρον τεκμαίρεται ότι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περιβαλλοντικούς, πολιτιστικούς και εν γένει κοινωνικούς σκοπούς.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Η άσκηση της ειδικής διοικητικής προσφυγής αποτελεί προϋπόθεση για την άσκηση ενδίκων βοηθημάτων ενώπιον των αρμόδιων δικαστηρίων».</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rPr>
      </w:pPr>
      <w:r>
        <w:rPr/>
      </w:r>
    </w:p>
    <w:p>
      <w:pPr>
        <w:pStyle w:val="11"/>
        <w:spacing w:lineRule="auto" w:line="360"/>
        <w:jc w:val="center"/>
        <w:rPr>
          <w:rStyle w:val="311ptChar"/>
          <w:b/>
          <w:b/>
        </w:rPr>
      </w:pPr>
      <w:r>
        <w:rPr>
          <w:rStyle w:val="311ptChar"/>
          <w:b/>
        </w:rPr>
        <w:t>Άρθρο  116</w:t>
      </w:r>
    </w:p>
    <w:p>
      <w:pPr>
        <w:pStyle w:val="11"/>
        <w:spacing w:lineRule="auto" w:line="360"/>
        <w:jc w:val="center"/>
        <w:rPr>
          <w:rStyle w:val="311ptChar"/>
          <w:b/>
          <w:b/>
        </w:rPr>
      </w:pPr>
      <w:r>
        <w:rPr>
          <w:rStyle w:val="311ptChar"/>
          <w:b/>
        </w:rPr>
        <w:t>Αναστολή εκτέλεσης – Αντικατάσταση άρθρου 228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228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«Αναστολή εκτέλεσης</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εφόσον υποβληθεί σχετικό αίτημα με την προσφυγή του προηγούμενου άρθρου, να αναστέλλει με απόφασή του την εκτέλεση της προσβαλλόμενης πράξης. Οι δήμοι, οι περιφέρειες και οι φορείς αυτών ειδοποιούνται από την Αυτοτελή Υπηρεσία Εποπτείας Ο.Τ.Α. για την άσκηση της προσφυγής και της αίτησης αναστολής και τους παρέχεται σύντομη προθεσμία για την έκθεση των απόψεων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Η αναστολή χορηγείται εφόσον η προσφυγή παρίσταται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προηγούμενου άρθρου.</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Ανάκληση της απόφασης που χορηγεί την αναστολή επιτρέπεται μόνο εφόσον γίνει επίκληση νεότερων κρίσιμων στοιχείων τα οποία δεν είχαν τεθεί υπόψη του Επόπτη ΟΤΑ κατά την έκδοση της απόφασής του ή μεταβλήθηκαν τα δεδομένα βάσει των οποίων χορηγήθηκε η αναστολή.</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ρυθμίζονται ειδικότερα ζητήματα της διαδικασίας για τη χορήγηση αναστολής».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b/>
          <w:b/>
          <w:sz w:val="24"/>
          <w:szCs w:val="24"/>
        </w:rPr>
      </w:pPr>
      <w:r>
        <w:rPr>
          <w:rFonts w:cs="Arial" w:ascii="Book Antiqua" w:hAnsi="Book Antiqua"/>
          <w:b/>
          <w:color w:val="00B050"/>
          <w:sz w:val="24"/>
          <w:szCs w:val="24"/>
        </w:rPr>
        <w:t xml:space="preserve">    </w:t>
      </w:r>
      <w:r>
        <w:rPr>
          <w:rFonts w:cs="Arial" w:ascii="Book Antiqua" w:hAnsi="Book Antiqua"/>
          <w:b/>
          <w:color w:val="00B050"/>
          <w:sz w:val="24"/>
          <w:szCs w:val="24"/>
        </w:rPr>
        <w:tab/>
        <w:tab/>
        <w:tab/>
        <w:tab/>
        <w:tab/>
      </w:r>
      <w:r>
        <w:rPr>
          <w:rFonts w:cs="Arial" w:ascii="Book Antiqua" w:hAnsi="Book Antiqua"/>
          <w:b/>
          <w:sz w:val="24"/>
          <w:szCs w:val="24"/>
        </w:rPr>
        <w:t>Άρθρο 117</w:t>
      </w:r>
    </w:p>
    <w:p>
      <w:pPr>
        <w:pStyle w:val="11"/>
        <w:spacing w:lineRule="auto" w:line="360"/>
        <w:jc w:val="center"/>
        <w:rPr>
          <w:rFonts w:ascii="Book Antiqua" w:hAnsi="Book Antiqua" w:cs="Arial"/>
          <w:b/>
          <w:b/>
          <w:sz w:val="24"/>
          <w:szCs w:val="24"/>
        </w:rPr>
      </w:pPr>
      <w:r>
        <w:rPr>
          <w:rFonts w:cs="Arial" w:ascii="Book Antiqua" w:hAnsi="Book Antiqua"/>
          <w:b/>
          <w:sz w:val="24"/>
          <w:szCs w:val="24"/>
        </w:rPr>
        <w:t>Επιτόπιοι έλεγχοι – Αντικατάσταση άρθρου 229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229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tab/>
        <w:tab/>
        <w:tab/>
        <w:t xml:space="preserve">                «Επιτόπιοι έλεγχοι </w:t>
      </w:r>
    </w:p>
    <w:p>
      <w:pPr>
        <w:pStyle w:val="11"/>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118</w:t>
      </w:r>
    </w:p>
    <w:p>
      <w:pPr>
        <w:pStyle w:val="11"/>
        <w:spacing w:lineRule="auto" w:line="360"/>
        <w:jc w:val="center"/>
        <w:rPr>
          <w:rFonts w:ascii="Book Antiqua" w:hAnsi="Book Antiqua" w:cs="Arial"/>
          <w:b/>
          <w:b/>
          <w:sz w:val="24"/>
          <w:szCs w:val="24"/>
        </w:rPr>
      </w:pPr>
      <w:r>
        <w:rPr>
          <w:rFonts w:cs="Arial" w:ascii="Book Antiqua" w:hAnsi="Book Antiqua"/>
          <w:b/>
          <w:sz w:val="24"/>
          <w:szCs w:val="24"/>
        </w:rPr>
        <w:t>Δημοσίευση αποφάσεων Επόπτη ΟΤΑ – Αντικατάσταση άρθρου 230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230 του ν. 3852/2010 αντικαθίσταται ως εξής:</w:t>
      </w:r>
    </w:p>
    <w:p>
      <w:pPr>
        <w:pStyle w:val="11"/>
        <w:spacing w:lineRule="auto" w:line="360"/>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«Δημοσίευση αποφάσεων του Επόπτη ΟΤΑ</w:t>
      </w:r>
    </w:p>
    <w:p>
      <w:pPr>
        <w:pStyle w:val="11"/>
        <w:numPr>
          <w:ilvl w:val="0"/>
          <w:numId w:val="23"/>
        </w:numPr>
        <w:spacing w:lineRule="auto" w:line="360"/>
        <w:jc w:val="both"/>
        <w:rPr>
          <w:rFonts w:ascii="Book Antiqua" w:hAnsi="Book Antiqua" w:cs="Arial"/>
          <w:sz w:val="24"/>
          <w:szCs w:val="24"/>
        </w:rPr>
      </w:pPr>
      <w:r>
        <w:rPr>
          <w:rFonts w:cs="Arial" w:ascii="Book Antiqua" w:hAnsi="Book Antiqua"/>
          <w:sz w:val="24"/>
          <w:szCs w:val="24"/>
        </w:rPr>
        <w:t>Οι αποφάσεις του Επόπτη ΟΤΑ, οι οποίες εκδίδονται σύμφωνα με τις διατάξεις των άρθρων 225 έως 228</w:t>
      </w:r>
      <w:r>
        <w:rPr>
          <w:rFonts w:cs="Arial" w:ascii="Book Antiqua" w:hAnsi="Book Antiqua"/>
          <w:b/>
          <w:bCs/>
          <w:sz w:val="24"/>
          <w:szCs w:val="24"/>
        </w:rPr>
        <w:t xml:space="preserve"> </w:t>
      </w:r>
      <w:r>
        <w:rPr>
          <w:rFonts w:cs="Arial" w:ascii="Book Antiqua" w:hAnsi="Book Antiqua"/>
          <w:sz w:val="24"/>
          <w:szCs w:val="24"/>
        </w:rPr>
        <w:t>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την προσφυγή κατά της πράξης, εντός πέντε (5) ημερών από την έκδοση τους.</w:t>
      </w:r>
    </w:p>
    <w:p>
      <w:pPr>
        <w:pStyle w:val="11"/>
        <w:numPr>
          <w:ilvl w:val="0"/>
          <w:numId w:val="23"/>
        </w:numPr>
        <w:spacing w:lineRule="auto" w:line="360"/>
        <w:jc w:val="both"/>
        <w:rPr>
          <w:rFonts w:ascii="Book Antiqua" w:hAnsi="Book Antiqua" w:cs="Arial"/>
          <w:sz w:val="24"/>
          <w:szCs w:val="24"/>
        </w:rPr>
      </w:pPr>
      <w:r>
        <w:rPr>
          <w:rFonts w:cs="Arial" w:ascii="Book Antiqua" w:hAnsi="Book Antiqua"/>
          <w:sz w:val="24"/>
          <w:szCs w:val="24"/>
        </w:rPr>
        <w:t>Οι αποφάσεις της παραγράφου 1 αναρτώνται στην επίσημη ιστοσελίδα της οικείας Αυτοτελούς Υπηρεσίας Εποπτείας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pPr>
        <w:pStyle w:val="11"/>
        <w:numPr>
          <w:ilvl w:val="0"/>
          <w:numId w:val="23"/>
        </w:numPr>
        <w:spacing w:lineRule="auto" w:line="360"/>
        <w:jc w:val="both"/>
        <w:rPr>
          <w:rFonts w:ascii="Book Antiqua" w:hAnsi="Book Antiqua" w:eastAsia="Calibri" w:cs="Arial"/>
          <w:sz w:val="24"/>
          <w:szCs w:val="24"/>
        </w:rPr>
      </w:pPr>
      <w:r>
        <w:rPr>
          <w:rFonts w:cs="Arial" w:ascii="Book Antiqua" w:hAnsi="Book Antiqua"/>
          <w:sz w:val="24"/>
          <w:szCs w:val="24"/>
        </w:rPr>
        <w:t>Οι αποφάσεις του Επόπτη ΟΤΑ προσβάλλονται στα αρμόδια δικαστήρια με τα ένδικα βοηθήματα που προβλέπονται από την κείμενη νομοθεσία.</w:t>
      </w:r>
    </w:p>
    <w:p>
      <w:pPr>
        <w:pStyle w:val="11"/>
        <w:spacing w:lineRule="auto" w:line="360"/>
        <w:ind w:left="360" w:hanging="0"/>
        <w:jc w:val="both"/>
        <w:rPr>
          <w:rFonts w:ascii="Book Antiqua" w:hAnsi="Book Antiqua" w:eastAsia="Calibri" w:cs="Arial"/>
          <w:sz w:val="24"/>
          <w:szCs w:val="24"/>
        </w:rPr>
      </w:pPr>
      <w:r>
        <w:rPr>
          <w:rFonts w:eastAsia="Calibri"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b/>
          <w:b/>
          <w:sz w:val="24"/>
          <w:szCs w:val="24"/>
        </w:rPr>
      </w:pPr>
      <w:r>
        <w:rPr>
          <w:rFonts w:cs="Arial" w:ascii="Book Antiqua" w:hAnsi="Book Antiqua"/>
          <w:sz w:val="24"/>
          <w:szCs w:val="24"/>
        </w:rPr>
        <w:tab/>
        <w:tab/>
        <w:tab/>
        <w:tab/>
        <w:t xml:space="preserve">         </w:t>
      </w:r>
      <w:r>
        <w:rPr>
          <w:rFonts w:cs="Arial" w:ascii="Book Antiqua" w:hAnsi="Book Antiqua"/>
          <w:b/>
          <w:sz w:val="24"/>
          <w:szCs w:val="24"/>
        </w:rPr>
        <w:t>Άρθρο 119</w:t>
      </w:r>
    </w:p>
    <w:p>
      <w:pPr>
        <w:pStyle w:val="11"/>
        <w:spacing w:lineRule="auto" w:line="360"/>
        <w:jc w:val="center"/>
        <w:rPr>
          <w:rFonts w:ascii="Book Antiqua" w:hAnsi="Book Antiqua" w:cs="Arial"/>
          <w:b/>
          <w:b/>
          <w:sz w:val="24"/>
          <w:szCs w:val="24"/>
        </w:rPr>
      </w:pPr>
      <w:r>
        <w:rPr>
          <w:rFonts w:cs="Arial" w:ascii="Book Antiqua" w:hAnsi="Book Antiqua"/>
          <w:b/>
          <w:sz w:val="24"/>
          <w:szCs w:val="24"/>
        </w:rPr>
        <w:t xml:space="preserve">Ετήσια Έκθεση </w:t>
      </w:r>
    </w:p>
    <w:p>
      <w:pPr>
        <w:pStyle w:val="11"/>
        <w:spacing w:lineRule="auto" w:line="360"/>
        <w:jc w:val="both"/>
        <w:rPr>
          <w:rFonts w:ascii="Book Antiqua" w:hAnsi="Book Antiqua" w:eastAsia="Calibri" w:cs="Arial"/>
          <w:b/>
          <w:b/>
          <w:sz w:val="24"/>
          <w:szCs w:val="24"/>
        </w:rPr>
      </w:pPr>
      <w:r>
        <w:rPr>
          <w:rFonts w:cs="Arial" w:ascii="Book Antiqua" w:hAnsi="Book Antiqua"/>
          <w:sz w:val="24"/>
          <w:szCs w:val="24"/>
        </w:rPr>
        <w:t>Στο νόμο 3852/2010 προστίθεται άρθρο 230</w:t>
      </w:r>
      <w:r>
        <w:rPr>
          <w:rFonts w:cs="Arial" w:ascii="Book Antiqua" w:hAnsi="Book Antiqua"/>
          <w:sz w:val="24"/>
          <w:szCs w:val="24"/>
          <w:vertAlign w:val="superscript"/>
        </w:rPr>
        <w:t xml:space="preserve"> </w:t>
      </w:r>
      <w:r>
        <w:rPr>
          <w:rFonts w:cs="Arial" w:ascii="Book Antiqua" w:hAnsi="Book Antiqua"/>
          <w:sz w:val="24"/>
          <w:szCs w:val="24"/>
        </w:rPr>
        <w:t>Α ως εξής:</w:t>
      </w:r>
    </w:p>
    <w:p>
      <w:pPr>
        <w:pStyle w:val="11"/>
        <w:spacing w:lineRule="auto" w:line="360"/>
        <w:ind w:left="2880" w:hanging="0"/>
        <w:jc w:val="both"/>
        <w:rPr>
          <w:rFonts w:ascii="Book Antiqua" w:hAnsi="Book Antiqua" w:cs="Arial"/>
          <w:b/>
          <w:b/>
          <w:sz w:val="24"/>
          <w:szCs w:val="24"/>
        </w:rPr>
      </w:pPr>
      <w:r>
        <w:rPr>
          <w:rFonts w:cs="Arial" w:ascii="Book Antiqua" w:hAnsi="Book Antiqua"/>
          <w:b/>
          <w:sz w:val="24"/>
          <w:szCs w:val="24"/>
        </w:rPr>
        <w:t xml:space="preserve">           </w:t>
      </w:r>
    </w:p>
    <w:p>
      <w:pPr>
        <w:pStyle w:val="11"/>
        <w:spacing w:lineRule="auto" w:line="360"/>
        <w:ind w:left="2880" w:hanging="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«Ετήσια Έκθεση</w:t>
      </w:r>
    </w:p>
    <w:p>
      <w:pPr>
        <w:pStyle w:val="11"/>
        <w:spacing w:lineRule="auto" w:line="360"/>
        <w:jc w:val="both"/>
        <w:rPr>
          <w:rFonts w:ascii="Book Antiqua" w:hAnsi="Book Antiqua" w:cs="Arial"/>
          <w:sz w:val="24"/>
          <w:szCs w:val="24"/>
        </w:rPr>
      </w:pPr>
      <w:r>
        <w:rPr>
          <w:rFonts w:cs="Arial" w:ascii="Book Antiqua" w:hAnsi="Book Antiqua"/>
          <w:sz w:val="24"/>
          <w:szCs w:val="24"/>
        </w:rPr>
        <w:t xml:space="preserve">Ο Επόπτης ΟΤΑ συντάσσει στο τέλος κάθε έτους έκθεση στην οποία καταγράφει το έργο της Αυτοτελούς Υπηρεσίας Εποπτείας ΟΤΑ, 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μέτρα, νομοθετικά και άλλα,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δια του Υπουργού Εσωτερικών στην Επιτροπή Θεσμών και Διαφάνειας της Βουλής των Ελλήνων. Επίσης εντός της ίδιας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υποβληθεισών εκθέσεων και μπορεί να συντάσσει πόρισμα σχετικά». </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120</w:t>
      </w:r>
    </w:p>
    <w:p>
      <w:pPr>
        <w:pStyle w:val="11"/>
        <w:spacing w:lineRule="auto" w:line="360"/>
        <w:jc w:val="center"/>
        <w:rPr>
          <w:rFonts w:ascii="Book Antiqua" w:hAnsi="Book Antiqua" w:cs="Arial"/>
          <w:b/>
          <w:b/>
          <w:sz w:val="24"/>
          <w:szCs w:val="24"/>
        </w:rPr>
      </w:pPr>
      <w:r>
        <w:rPr>
          <w:rFonts w:cs="Arial" w:ascii="Book Antiqua" w:hAnsi="Book Antiqua"/>
          <w:b/>
          <w:sz w:val="24"/>
          <w:szCs w:val="24"/>
        </w:rPr>
        <w:t>Υποχρέωση συμμόρφωσης – Αντικατάσταση άρθρου 231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231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«Υποχρέωση συμμόρφωσης</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Όλα τα όργανα των δήμων και των περιφερειών, συλλογικά και μονομελή,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Την υποχρέωση της παραγράφου 1 έχει και το πάσης φύσεως προσωπικό που υπηρετεί στα νομικά πρόσωπα της παραγράφου 1 του παρόντος άρθρου με οποιαδήποτε σχέση εργασίας.</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Η μη τήρηση των υποχρεώσεων των προηγούμενων παραγράφων συνιστά σοβαρή παράβαση καθήκοντος, η οποία ελέγχεται πειθαρχικά κατά τις οικείες διατάξεις που διέπουν τους αιρετούς και το προσωπικό των ανωτέρω νομικών προσώπων».</w:t>
      </w:r>
    </w:p>
    <w:p>
      <w:pPr>
        <w:pStyle w:val="Normal"/>
        <w:spacing w:lineRule="auto" w:line="360" w:before="0" w:after="0"/>
        <w:rPr>
          <w:rFonts w:ascii="Book Antiqua" w:hAnsi="Book Antiqua"/>
          <w:b/>
          <w:b/>
          <w:color w:val="333333"/>
          <w:sz w:val="24"/>
          <w:szCs w:val="24"/>
          <w:lang w:eastAsia="el-GR"/>
        </w:rPr>
      </w:pPr>
      <w:r>
        <w:rPr>
          <w:rFonts w:ascii="Book Antiqua" w:hAnsi="Book Antiqua"/>
          <w:b/>
          <w:color w:val="333333"/>
          <w:sz w:val="24"/>
          <w:szCs w:val="24"/>
          <w:lang w:eastAsia="el-GR"/>
        </w:rPr>
      </w:r>
    </w:p>
    <w:p>
      <w:pPr>
        <w:pStyle w:val="Normal"/>
        <w:spacing w:lineRule="auto" w:line="360" w:before="0" w:after="0"/>
        <w:rPr>
          <w:rFonts w:ascii="Book Antiqua" w:hAnsi="Book Antiqua"/>
          <w:b/>
          <w:b/>
          <w:color w:val="333333"/>
          <w:sz w:val="24"/>
          <w:szCs w:val="24"/>
          <w:lang w:eastAsia="el-GR"/>
        </w:rPr>
      </w:pPr>
      <w:r>
        <w:rPr>
          <w:rFonts w:ascii="Book Antiqua" w:hAnsi="Book Antiqua"/>
          <w:b/>
          <w:color w:val="333333"/>
          <w:sz w:val="24"/>
          <w:szCs w:val="24"/>
          <w:lang w:eastAsia="el-GR"/>
        </w:rPr>
      </w:r>
    </w:p>
    <w:p>
      <w:pPr>
        <w:pStyle w:val="Normal"/>
        <w:spacing w:lineRule="auto" w:line="360" w:before="0" w:after="0"/>
        <w:jc w:val="center"/>
        <w:rPr>
          <w:rFonts w:ascii="Book Antiqua" w:hAnsi="Book Antiqua"/>
          <w:b/>
          <w:b/>
          <w:color w:val="333333"/>
          <w:sz w:val="24"/>
          <w:szCs w:val="24"/>
          <w:lang w:eastAsia="el-GR"/>
        </w:rPr>
      </w:pPr>
      <w:r>
        <w:rPr>
          <w:rFonts w:ascii="Book Antiqua" w:hAnsi="Book Antiqua"/>
          <w:b/>
          <w:color w:val="333333"/>
          <w:sz w:val="24"/>
          <w:szCs w:val="24"/>
          <w:lang w:eastAsia="el-GR"/>
        </w:rPr>
        <w:t>ΤΜΗΜΑ Γ’</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ΕΥΘΥΝΗ – ΠΕΙΘΑΡΧΙΚΟΣ ΕΛΕΓΧΟΣ ΤΩΝ ΠΡΟΣΩΠΩΝ ΤΩΝ ΟΤΑ</w:t>
      </w:r>
    </w:p>
    <w:p>
      <w:pPr>
        <w:pStyle w:val="Normal"/>
        <w:spacing w:lineRule="auto" w:line="360" w:before="0" w:after="0"/>
        <w:jc w:val="center"/>
        <w:rPr>
          <w:rFonts w:ascii="Book Antiqua" w:hAnsi="Book Antiqua"/>
          <w:sz w:val="24"/>
          <w:szCs w:val="24"/>
          <w:lang w:eastAsia="el-GR"/>
        </w:rPr>
      </w:pPr>
      <w:r>
        <w:rPr>
          <w:rFonts w:ascii="Book Antiqua" w:hAnsi="Book Antiqua"/>
          <w:sz w:val="24"/>
          <w:szCs w:val="24"/>
          <w:lang w:eastAsia="el-GR"/>
        </w:rPr>
      </w:r>
    </w:p>
    <w:p>
      <w:pPr>
        <w:pStyle w:val="11"/>
        <w:spacing w:lineRule="auto" w:line="360"/>
        <w:jc w:val="center"/>
        <w:rPr>
          <w:rStyle w:val="311ptChar"/>
          <w:b/>
          <w:b/>
        </w:rPr>
      </w:pPr>
      <w:r>
        <w:rPr>
          <w:rStyle w:val="311ptChar"/>
          <w:b/>
        </w:rPr>
        <w:t>Άρθρο  121</w:t>
      </w:r>
    </w:p>
    <w:p>
      <w:pPr>
        <w:pStyle w:val="11"/>
        <w:spacing w:lineRule="auto" w:line="360"/>
        <w:jc w:val="center"/>
        <w:rPr>
          <w:rStyle w:val="311ptChar"/>
          <w:b/>
          <w:b/>
        </w:rPr>
      </w:pPr>
      <w:r>
        <w:rPr>
          <w:rStyle w:val="311ptChar"/>
          <w:b/>
        </w:rPr>
        <w:t>Αστική ευθύνη – Αντικατάσταση άρθρου 232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232 του ν. 3852/2010 αντικαθίσταται ως εξής:</w:t>
      </w:r>
    </w:p>
    <w:p>
      <w:pPr>
        <w:pStyle w:val="11"/>
        <w:spacing w:lineRule="auto" w:line="360"/>
        <w:jc w:val="center"/>
        <w:rPr>
          <w:rStyle w:val="311ptChar"/>
        </w:rPr>
      </w:pPr>
      <w:r>
        <w:rPr/>
      </w:r>
    </w:p>
    <w:p>
      <w:pPr>
        <w:pStyle w:val="11"/>
        <w:spacing w:lineRule="auto" w:line="360"/>
        <w:ind w:left="2880" w:hanging="0"/>
        <w:rPr>
          <w:rFonts w:ascii="Book Antiqua" w:hAnsi="Book Antiqua"/>
          <w:color w:val="FF0000"/>
          <w:sz w:val="24"/>
          <w:szCs w:val="24"/>
        </w:rPr>
      </w:pPr>
      <w:r>
        <w:rPr>
          <w:rFonts w:cs="Arial" w:ascii="Book Antiqua" w:hAnsi="Book Antiqua"/>
          <w:sz w:val="24"/>
          <w:szCs w:val="24"/>
        </w:rPr>
        <w:t>«Αστική ευθύνη</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Οι περιφερειάρχες, οι αντιπεριφερειάρχες, οι περιφερειακοί σύμβουλοι, οι δήμαρχοι, οι αντιδήμαρχοι, οι δημοτικοί σύμβουλοι, οι σύμβουλοι και οι πρόεδροι κοινοτήτων,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Η ζημία καταλογίζεται στα πρόσωπα αυτά με αιτιολογημένη πράξη τριμελούς ελεγκτικής επιτροπής, που συγκροτείται στην έδρα κάθε Αυτοτελούς Υπηρεσίας Εποπτείας ΟΤΑ με απόφαση του Υπουργού Εσωτερικών</w:t>
      </w:r>
      <w:r>
        <w:rPr>
          <w:rFonts w:cs="Arial" w:ascii="Book Antiqua" w:hAnsi="Book Antiqua"/>
          <w:b/>
          <w:color w:val="00B050"/>
          <w:sz w:val="24"/>
          <w:szCs w:val="24"/>
        </w:rPr>
        <w:t xml:space="preserve"> </w:t>
      </w:r>
      <w:r>
        <w:rPr>
          <w:rFonts w:cs="Arial" w:ascii="Book Antiqua" w:hAnsi="Book Antiqua"/>
          <w:sz w:val="24"/>
          <w:szCs w:val="24"/>
        </w:rPr>
        <w:t>και αποτελείται από:</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Τον Επόπτη ΟΤΑ της οικείας Αυτοτελούς Υπηρεσίας Εποπτείας Ο.Τ.Α., με αναπληρωτή τον Προϊστάμενο της Διεύθυνσης Εποπτείας ΟΤΑ της ίδιας υπηρεσίας.</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Αυτοτελούς Υπηρεσίας Εποπτείας Ο.Τ.Α. που υποδεικνύεται από τον Επόπτη ΟΤΑ.</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Η επιτροπή εξετάζει τις υποθέσεις ύστερα από αίτηση του δήμου ή της περιφέρειας ή του νομικού προσώπου ή του συνδέσμου ή με αίτημα του Γενικού Επιθεωρητή Δημόσιας Διοίκησης ή ύστερα από αίτηση οποιουδήποτε δημότη και αποφασίζει μέσα σε εύλογο διάστημα, αφού κάνει έρευνα και καλέσει τα πρόσωπα που θεωρούνται υπεύθυνα για την πρόκληση της ζημίας  προς παροχή εξηγήσεων.</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Κατά των πράξεων της επιτροπής επιτρέπεται προσφυγή στο Διοικητικό Εφετείο στην περιφέρεια του οποίου βρίσκεται η έδρα της οικείας Αυτοτελούς Υπηρεσίας Εποπτείας ΟΤΑ από τον Επόπτη ΟΤΑ και από το πρόσωπο σε βάρους του οποίου έγινε ο καταλογισμός,  μέσα σε προθεσμία 60 ημερών από την κοινοποίηση της πράξης καταλογισμού σε αυτούς. Η προθεσμία για την άσκηση της προσφυγής και η άσκηση της αναστέλλουν την εκτέλεση της πράξης της επιτροπής.</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Κατά της απόφασης του Διοικητικού Εφετείου μπορεί να ασκηθεί αίτηση αναιρέσεως ενώπιον του Συμβουλίου της Επικρατείας.</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άρθρου, συμψηφίζεται το ήδη καταβληθέν ποσό με το καταλογιζόμενο εφόσον πρόκειται για την ίδια ιστορική αιτία».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122</w:t>
      </w:r>
    </w:p>
    <w:p>
      <w:pPr>
        <w:pStyle w:val="11"/>
        <w:spacing w:lineRule="auto" w:line="360"/>
        <w:jc w:val="center"/>
        <w:rPr>
          <w:rStyle w:val="311ptChar"/>
          <w:b/>
          <w:b/>
        </w:rPr>
      </w:pPr>
      <w:r>
        <w:rPr>
          <w:rStyle w:val="311ptChar"/>
          <w:b/>
        </w:rPr>
        <w:t>Πειθαρχική ευθύνη – Αντικατάσταση άρθρου 233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233 του ν. 3852/2010 αντικαθίσταται ως εξής:</w:t>
      </w:r>
    </w:p>
    <w:p>
      <w:pPr>
        <w:pStyle w:val="11"/>
        <w:spacing w:lineRule="auto" w:line="360"/>
        <w:jc w:val="center"/>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 xml:space="preserve">    </w:t>
      </w:r>
      <w:r>
        <w:rPr>
          <w:rFonts w:cs="Arial" w:ascii="Book Antiqua" w:hAnsi="Book Antiqua"/>
          <w:sz w:val="24"/>
          <w:szCs w:val="24"/>
        </w:rPr>
        <w:t>«Πειθαρχική ευθύνη</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 xml:space="preserve">Την πειθαρχική δικαιοδοσία ως προς τους περιφερειάρχες, αντιπεριφερειάρχες, περιφερειακούς συμβούλους, δημάρχους, αντιδημάρχους, δημοτικούς συμβούλους, συμβούλους και προέδρους κοινοτήτων, η οποία αφορά παραβάσεις των καθηκόντων τους, ασκεί ο Επόπτης ΟΤΑ. </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Στους αιρετούς της προηγούμενης παραγράφου επιβάλλονται οι πειθαρχικές ποινές της αργίας έως έξι (6) μηνών και της έκπτωσης.</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να επιβάλλει τις πειθαρχικές ποινές της προηγούμενης παραγράφου στους αιρετούς που αναφέρονται σε αυτή:</w:t>
      </w:r>
    </w:p>
    <w:p>
      <w:pPr>
        <w:pStyle w:val="11"/>
        <w:spacing w:lineRule="auto" w:line="360"/>
        <w:ind w:left="1440" w:hanging="0"/>
        <w:jc w:val="both"/>
        <w:rPr>
          <w:rFonts w:ascii="Book Antiqua" w:hAnsi="Book Antiqua" w:cs="Arial"/>
          <w:sz w:val="24"/>
          <w:szCs w:val="24"/>
        </w:rPr>
      </w:pPr>
      <w:r>
        <w:rPr>
          <w:rFonts w:cs="Arial" w:ascii="Book Antiqua" w:hAnsi="Book Antiqua"/>
          <w:sz w:val="24"/>
          <w:szCs w:val="24"/>
        </w:rPr>
        <w:t>α. αν έχουν διαπράξει σοβαρή παράβαση των καθηκόντων τους ή υπέρβαση της αρμοδιότητας τους από δόλο ή βαριά αμέλεια,</w:t>
      </w:r>
    </w:p>
    <w:p>
      <w:pPr>
        <w:pStyle w:val="11"/>
        <w:spacing w:lineRule="auto" w:line="360"/>
        <w:ind w:left="1440" w:hanging="0"/>
        <w:jc w:val="both"/>
        <w:rPr>
          <w:rFonts w:ascii="Book Antiqua" w:hAnsi="Book Antiqua" w:cs="Arial"/>
          <w:sz w:val="24"/>
          <w:szCs w:val="24"/>
        </w:rPr>
      </w:pPr>
      <w:r>
        <w:rPr>
          <w:rFonts w:cs="Arial" w:ascii="Book Antiqua" w:hAnsi="Book Antiqua"/>
          <w:sz w:val="24"/>
          <w:szCs w:val="24"/>
        </w:rPr>
        <w:t>β. αν έχουν διαπράξει παραβάσεις των καθηκόντων που τους έχουν ανατεθεί σύμφωνα με ειδικές νομοθετικές ρυθμίσεις.</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Οι πειθαρχικές ποινές της παραγράφου 2 επιβάλλονται μετά προηγούμενη τήρηση της διαδικασίας του επόμενου άρθρου.</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Τα πειθαρχικά παραπτώματα της παραγράφου 3 του παρόντος άρθρου υπόκεινται σε πενταετή παραγραφή, η οποία αρχίζει από την ημέρα που διαπράχθηκαν».</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ind w:left="1440" w:firstLine="720"/>
        <w:rPr>
          <w:rStyle w:val="311ptChar"/>
          <w:b/>
          <w:b/>
        </w:rPr>
      </w:pPr>
      <w:r>
        <w:rPr>
          <w:rStyle w:val="311ptChar"/>
          <w:b/>
        </w:rPr>
        <w:t xml:space="preserve">                        </w:t>
      </w:r>
      <w:r>
        <w:rPr>
          <w:rStyle w:val="311ptChar"/>
          <w:b/>
        </w:rPr>
        <w:t>Άρθρο  123</w:t>
      </w:r>
    </w:p>
    <w:p>
      <w:pPr>
        <w:pStyle w:val="11"/>
        <w:spacing w:lineRule="auto" w:line="360"/>
        <w:ind w:left="1440" w:hanging="873"/>
        <w:jc w:val="center"/>
        <w:rPr>
          <w:rFonts w:ascii="Book Antiqua" w:hAnsi="Book Antiqua" w:eastAsia="Calibri"/>
          <w:b/>
          <w:b/>
          <w:sz w:val="24"/>
          <w:szCs w:val="24"/>
          <w:lang w:eastAsia="el-GR"/>
        </w:rPr>
      </w:pPr>
      <w:r>
        <w:rPr>
          <w:rFonts w:eastAsia="Calibri" w:ascii="Book Antiqua" w:hAnsi="Book Antiqua"/>
          <w:b/>
          <w:sz w:val="24"/>
          <w:szCs w:val="24"/>
          <w:lang w:eastAsia="el-GR"/>
        </w:rPr>
        <w:t>Πειθαρχική διαδικασία – Αντικατάσταση άρθρου 234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234 του ν. 3852/2010 αντικαθίσταται ως εξής:</w:t>
      </w:r>
    </w:p>
    <w:p>
      <w:pPr>
        <w:pStyle w:val="11"/>
        <w:spacing w:lineRule="auto" w:line="360"/>
        <w:ind w:left="1440" w:firstLine="720"/>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«Πειθαρχική διαδικασία</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Οι πειθαρχικές ποινές της αργίας και της έκπτωσης επιβάλλονται με αιτιολογημένη απόφαση του Επόπτη ΟΤΑ, αφού προηγηθεί απολογία του εγκαλουμένου ή περάσει η προθεσμία που έχει τάξει ο Επόπτης ΟΤΑ με γραπτή κλήση στον εγκαλούμενο, χωρίς αυτός να έχει απολογηθεί. Η προθεσμία αυτή δεν μπορεί να είναι μικρότερη από δέκα (10) ημέρες.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Για την επιβολή των πειθαρχικών ποινών της αργίας και τη διάρκεια της, καθώς και της έκπτωσης απαιτείται σύμφωνη γνώμη πειθαρχικού συμβουλίου, το οποίο αποτελείται: α) από έναν πρόεδρο Εφετών του Διοικητικού Εφετείου στο οποίο υπάγεται η έδρα της Αυτοτελούς Υπηρεσίας Εποπτείας ΟΤΑ ή το νόμιμο αναπληρωτή του, ως πρόεδρο, β) δύο δικαστές με το βαθμό του Εφέτη που υπηρετούν στο ανωτέρω Διοικητικό Εφετείο, με τους αναπληρωτές τους, γ) δύο δικαστές με το βαθμό του Εφέτη που υπηρετούν στο Εφετείο στο οποίο υπάγεται η έδρα της Αυτοτελούς Υπηρεσίας Εποπτείας ΟΤΑ, με τους αναπληρωτές τους, δ) έναν Προϊστάμενο Διεύθυνσης του Υπουργείου Εσωτερικών, με τον αναπληρωτή του και 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Αυτοτελούς Υπηρεσίας Εποπτείας ΟΤΑ.</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Σε περίπτωση παραπομπής στο πειθαρχικό συμβούλιο, το παραπεμπτήριο έγγραφο προς αυτό πρέπει να είναι αιτιολογημένο και να διαλαμβάνει πρόταση επί της ποινής, αφού ληφθεί υπόψη η απολογία του πειθαρχικώς διωκόμενου. Το παραπεμπτήριο έγγραφο δεν ανακαλείται.</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 xml:space="preserve">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εισηγηθεί  στον Επόπτη την επιβολή ηπιότερης ή αυστηρότερης ποινής. Στην περίπτωση γ’ η εισήγηση του πειθαρχικού συμβουλίου είναι υποχρεωτική για τον Επόπτη. </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Προϊστάμενος Διεύθυνσης του Υπουργείου Εσωτερικών, μαζί με τον αναπληρωτή του, ορίζονται από τον Υπουργό Εσωτερικών.</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ενδιαφερόμενος μπορεί μέσα σε τριάντα (30) ημέρες από την κοινοποίηση της απόφασης του Επόπτη ΟΤΑ να προσφύγει κατά αυτής στο Συμβούλιο της Επικρατείας, το οποίο κρίνει την υπόθεση και κατ’ ουσίαν.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Άρθρο 124</w:t>
      </w:r>
    </w:p>
    <w:p>
      <w:pPr>
        <w:pStyle w:val="11"/>
        <w:spacing w:lineRule="auto" w:line="360"/>
        <w:jc w:val="center"/>
        <w:rPr>
          <w:rFonts w:ascii="Book Antiqua" w:hAnsi="Book Antiqua" w:cs="Arial"/>
          <w:b/>
          <w:b/>
          <w:sz w:val="24"/>
          <w:szCs w:val="24"/>
        </w:rPr>
      </w:pPr>
      <w:r>
        <w:rPr>
          <w:rFonts w:cs="Arial" w:ascii="Book Antiqua" w:hAnsi="Book Antiqua"/>
          <w:b/>
          <w:sz w:val="24"/>
          <w:szCs w:val="24"/>
        </w:rPr>
        <w:t xml:space="preserve">Ιδιάζουσα δωσιδικία – Εξαίρεση από συνοπτική διαδικασία </w:t>
      </w:r>
    </w:p>
    <w:p>
      <w:pPr>
        <w:pStyle w:val="11"/>
        <w:spacing w:lineRule="auto" w:line="360"/>
        <w:rPr>
          <w:rFonts w:ascii="Book Antiqua" w:hAnsi="Book Antiqua" w:cs="Arial"/>
          <w:sz w:val="24"/>
          <w:szCs w:val="24"/>
        </w:rPr>
      </w:pPr>
      <w:r>
        <w:rPr>
          <w:rFonts w:cs="Arial" w:ascii="Book Antiqua" w:hAnsi="Book Antiqua"/>
          <w:sz w:val="24"/>
          <w:szCs w:val="24"/>
        </w:rPr>
        <w:t>Στο ν. 3852/2010 προστίθεται άρθρο 235 ως εξής:</w:t>
      </w:r>
    </w:p>
    <w:p>
      <w:pPr>
        <w:pStyle w:val="11"/>
        <w:spacing w:lineRule="auto" w:line="360"/>
        <w:rPr>
          <w:rFonts w:ascii="Book Antiqua" w:hAnsi="Book Antiqua" w:cs="Arial"/>
          <w:color w:val="FF0000"/>
          <w:sz w:val="24"/>
          <w:szCs w:val="24"/>
        </w:rPr>
      </w:pPr>
      <w:r>
        <w:rPr>
          <w:rFonts w:cs="Arial" w:ascii="Book Antiqua" w:hAnsi="Book Antiqua"/>
          <w:color w:val="FF0000"/>
          <w:sz w:val="24"/>
          <w:szCs w:val="24"/>
        </w:rPr>
      </w:r>
    </w:p>
    <w:p>
      <w:pPr>
        <w:pStyle w:val="Normal"/>
        <w:spacing w:lineRule="auto" w:line="360"/>
        <w:ind w:firstLine="7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«Ιδιάζουσα δωσιδικία – Εξαίρεση από τη συνοπτική διαδικασία</w:t>
      </w:r>
    </w:p>
    <w:p>
      <w:pPr>
        <w:pStyle w:val="12"/>
        <w:numPr>
          <w:ilvl w:val="0"/>
          <w:numId w:val="28"/>
        </w:numPr>
        <w:spacing w:lineRule="auto" w:line="360"/>
        <w:jc w:val="both"/>
        <w:rPr>
          <w:rFonts w:ascii="Book Antiqua" w:hAnsi="Book Antiqua"/>
          <w:sz w:val="24"/>
          <w:szCs w:val="24"/>
        </w:rPr>
      </w:pPr>
      <w:r>
        <w:rPr>
          <w:rFonts w:ascii="Book Antiqua" w:hAnsi="Book Antiqua"/>
          <w:sz w:val="24"/>
          <w:szCs w:val="24"/>
        </w:rPr>
        <w:t>Οι δήμαρχοι, οι περιφερειάρχες, καθώς και οι πρόεδροι των συνδέσμων υπάγονται στην ιδιάζουσα δωσιδικία της παρ. 6 του άρθρου 111 και της παρ. 2 του άρθρου 112 του Κώδικα Ποινικής Δικονομίας, όπως ισχύει κάθε φορά.</w:t>
      </w:r>
    </w:p>
    <w:p>
      <w:pPr>
        <w:pStyle w:val="12"/>
        <w:numPr>
          <w:ilvl w:val="0"/>
          <w:numId w:val="28"/>
        </w:numPr>
        <w:spacing w:lineRule="auto" w:line="360"/>
        <w:jc w:val="both"/>
        <w:rPr>
          <w:rFonts w:ascii="Book Antiqua" w:hAnsi="Book Antiqua"/>
          <w:sz w:val="24"/>
          <w:szCs w:val="24"/>
        </w:rPr>
      </w:pPr>
      <w:r>
        <w:rPr>
          <w:rFonts w:ascii="Book Antiqua" w:hAnsi="Book Antiqua"/>
          <w:sz w:val="24"/>
          <w:szCs w:val="24"/>
        </w:rPr>
        <w:t>Για πταίσματα ή πλημμελήματα των αιρετών της προηγούμενης παραγράφου που διαπράττονται κατά την άσκηση των καθηκόντων τους και εξαιτίας αυτών, δεν εφαρμόζονται οι διατάξεις των άρθρων 409-413 και 417-427 του Κώδικα Ποινικής Δικονομίας, όπως ισχύουν κάθε φορά».</w:t>
      </w:r>
    </w:p>
    <w:p>
      <w:pPr>
        <w:pStyle w:val="12"/>
        <w:spacing w:lineRule="auto" w:line="360"/>
        <w:ind w:left="360" w:hanging="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125</w:t>
      </w:r>
    </w:p>
    <w:p>
      <w:pPr>
        <w:pStyle w:val="11"/>
        <w:spacing w:lineRule="auto" w:line="360"/>
        <w:jc w:val="center"/>
        <w:rPr>
          <w:rFonts w:ascii="Book Antiqua" w:hAnsi="Book Antiqua" w:cs="Arial"/>
          <w:b/>
          <w:b/>
          <w:sz w:val="24"/>
          <w:szCs w:val="24"/>
        </w:rPr>
      </w:pPr>
      <w:r>
        <w:rPr>
          <w:rFonts w:cs="Arial" w:ascii="Book Antiqua" w:hAnsi="Book Antiqua"/>
          <w:b/>
          <w:sz w:val="24"/>
          <w:szCs w:val="24"/>
        </w:rPr>
        <w:t>Έκπτωση εξαιτίας καταδίκης – Αντικατάσταση άρθρου 236 του ν. 3852/2010</w:t>
      </w:r>
    </w:p>
    <w:p>
      <w:pPr>
        <w:pStyle w:val="11"/>
        <w:spacing w:lineRule="auto" w:line="360"/>
        <w:rPr>
          <w:rFonts w:ascii="Book Antiqua" w:hAnsi="Book Antiqua" w:cs="Arial"/>
          <w:color w:val="FF0000"/>
          <w:sz w:val="24"/>
          <w:szCs w:val="24"/>
        </w:rPr>
      </w:pPr>
      <w:r>
        <w:rPr>
          <w:rFonts w:cs="Arial" w:ascii="Book Antiqua" w:hAnsi="Book Antiqua"/>
          <w:sz w:val="24"/>
          <w:szCs w:val="24"/>
        </w:rPr>
        <w:t>Το άρθρο 236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«Έκπτωση εξαιτίας καταδίκης</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Οι περιφερειάρχες, οι αντιπεριφερειάρχες, οι δήμαρχοι, οι δημοτικοί και περιφερειακοί σύμβουλοι, οι σύμβουλοι και πρόεδροι των κοινοτήτων εκπίπτουν αυτοδικαίως από το αξίωμα τους:</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α. Αν στερηθούν τη διαχείριση της περιουσίας τους με τελεσίδικη δικαστική απόφαση.</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β. Αν στερηθούν τα πολιτικά τους δικαιώματα με αμετάκλητη δικαστική απόφαση.</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προξενείται οικονομική βλάβη στο δήμο, στην περιφέρεια ή στα νομικά τους πρόσωπα.</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 του παρόντος.</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αυτής.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pPr>
        <w:pStyle w:val="12"/>
        <w:spacing w:lineRule="auto" w:line="360"/>
        <w:jc w:val="both"/>
        <w:rPr>
          <w:rFonts w:ascii="Book Antiqua" w:hAnsi="Book Antiqua"/>
          <w:sz w:val="24"/>
          <w:szCs w:val="24"/>
        </w:rPr>
      </w:pPr>
      <w:r>
        <w:rPr>
          <w:rFonts w:ascii="Book Antiqua" w:hAnsi="Book Antiqua"/>
          <w:sz w:val="24"/>
          <w:szCs w:val="24"/>
        </w:rPr>
      </w:r>
    </w:p>
    <w:p>
      <w:pPr>
        <w:pStyle w:val="12"/>
        <w:spacing w:lineRule="auto" w:line="36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126</w:t>
      </w:r>
    </w:p>
    <w:p>
      <w:pPr>
        <w:pStyle w:val="11"/>
        <w:spacing w:lineRule="auto" w:line="360"/>
        <w:jc w:val="center"/>
        <w:rPr>
          <w:rFonts w:ascii="Book Antiqua" w:hAnsi="Book Antiqua" w:cs="Arial"/>
          <w:b/>
          <w:b/>
          <w:sz w:val="24"/>
          <w:szCs w:val="24"/>
        </w:rPr>
      </w:pPr>
      <w:r>
        <w:rPr>
          <w:rFonts w:cs="Arial" w:ascii="Book Antiqua" w:hAnsi="Book Antiqua"/>
          <w:b/>
          <w:sz w:val="24"/>
          <w:szCs w:val="24"/>
        </w:rPr>
        <w:t>Διοικητικά μέτρα - Αργία</w:t>
      </w:r>
    </w:p>
    <w:p>
      <w:pPr>
        <w:pStyle w:val="11"/>
        <w:spacing w:lineRule="auto" w:line="360"/>
        <w:rPr>
          <w:rFonts w:ascii="Book Antiqua" w:hAnsi="Book Antiqua" w:cs="Arial"/>
          <w:color w:val="FF0000"/>
          <w:sz w:val="24"/>
          <w:szCs w:val="24"/>
        </w:rPr>
      </w:pPr>
      <w:r>
        <w:rPr>
          <w:rFonts w:cs="Arial" w:ascii="Book Antiqua" w:hAnsi="Book Antiqua"/>
          <w:sz w:val="24"/>
          <w:szCs w:val="24"/>
        </w:rPr>
        <w:t>Στο ν. 3852/2010 προστίθεται άρθρο 236Α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«Διοικητικά μέτρα – Αργία</w:t>
      </w:r>
    </w:p>
    <w:p>
      <w:pPr>
        <w:pStyle w:val="11"/>
        <w:numPr>
          <w:ilvl w:val="0"/>
          <w:numId w:val="30"/>
        </w:numPr>
        <w:spacing w:lineRule="auto" w:line="360"/>
        <w:jc w:val="both"/>
        <w:rPr>
          <w:rFonts w:ascii="Book Antiqua" w:hAnsi="Book Antiqua" w:cs="Arial"/>
          <w:sz w:val="24"/>
          <w:szCs w:val="24"/>
        </w:rPr>
      </w:pPr>
      <w:r>
        <w:rPr>
          <w:rFonts w:cs="Arial" w:ascii="Book Antiqua" w:hAnsi="Book Antiqua"/>
          <w:sz w:val="24"/>
          <w:szCs w:val="24"/>
        </w:rPr>
        <w:t>Εάν εκδοθεί τελεσίδικη καταδικαστική απόφαση ποινικού δικαστηρίου, για τα πλημμελήματα της περίπτωσης γ. της παραγράφου 1 του προηγούμενου άρθρου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pPr>
        <w:pStyle w:val="11"/>
        <w:numPr>
          <w:ilvl w:val="0"/>
          <w:numId w:val="30"/>
        </w:numPr>
        <w:spacing w:lineRule="auto" w:line="360"/>
        <w:jc w:val="both"/>
        <w:rPr>
          <w:rFonts w:ascii="Book Antiqua" w:hAnsi="Book Antiqua" w:cs="Arial"/>
          <w:sz w:val="24"/>
          <w:szCs w:val="24"/>
        </w:rPr>
      </w:pPr>
      <w:r>
        <w:rPr>
          <w:rFonts w:cs="Arial" w:ascii="Book Antiqua" w:hAnsi="Book Antiqua"/>
          <w:sz w:val="24"/>
          <w:szCs w:val="24"/>
        </w:rPr>
        <w:t>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συγκεκριμένες παραγράφους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pPr>
        <w:pStyle w:val="11"/>
        <w:spacing w:lineRule="auto" w:line="360"/>
        <w:ind w:left="1440" w:firstLine="720"/>
        <w:rPr>
          <w:rStyle w:val="311ptChar"/>
        </w:rPr>
      </w:pPr>
      <w:r>
        <w:rPr>
          <w:rStyle w:val="311ptChar"/>
        </w:rPr>
        <w:t xml:space="preserve">                             </w:t>
      </w:r>
    </w:p>
    <w:p>
      <w:pPr>
        <w:pStyle w:val="11"/>
        <w:spacing w:lineRule="auto" w:line="360"/>
        <w:ind w:left="1440" w:firstLine="720"/>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127</w:t>
      </w:r>
    </w:p>
    <w:p>
      <w:pPr>
        <w:pStyle w:val="Normal"/>
        <w:spacing w:lineRule="auto" w:line="360"/>
        <w:jc w:val="center"/>
        <w:rPr>
          <w:rFonts w:ascii="Book Antiqua" w:hAnsi="Book Antiqua"/>
          <w:b/>
          <w:b/>
          <w:sz w:val="24"/>
          <w:szCs w:val="24"/>
        </w:rPr>
      </w:pPr>
      <w:r>
        <w:rPr>
          <w:rFonts w:ascii="Book Antiqua" w:hAnsi="Book Antiqua"/>
          <w:b/>
          <w:sz w:val="24"/>
          <w:szCs w:val="24"/>
        </w:rPr>
        <w:t>Παύση – Αντικατάσταση άρθρου 237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237 του ν. 3852/2010 αντικαθίσταται ως εξής:</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olor w:val="FF0000"/>
          <w:sz w:val="24"/>
          <w:szCs w:val="24"/>
        </w:rPr>
      </w:pPr>
      <w:r>
        <w:rPr>
          <w:rFonts w:cs="Arial" w:ascii="Book Antiqua" w:hAnsi="Book Antiqua"/>
          <w:sz w:val="24"/>
          <w:szCs w:val="24"/>
        </w:rPr>
        <w:t>«Παύση</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Περιφερειάρχες, αντιπεριφερειάρχες, δήμαρχοι, αντιδήμαρχοι, δημοτικοί και περιφερειακοί σύμβουλοι, σύμβουλοι και πρόεδροι κοινοτήτων επιτρέπεται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α) από έναν πρόεδρο Διοικητικού Εφετείου Αθηνών, ως πρόεδρο, με τον αναπληρωτή του β) δύο εφέτες, που έχουν τριετή τουλάχιστον υπηρεσία στο βαθμό αυτόν και υπηρετούν στο Διοικητικό Εφετείο Αθηνών, με τους αναπληρωτές τους, γ) δύο εφέτες, που έχουν τριετή τουλάχιστον υπηρεσία 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ορίζονται από το Διοικητικό Συμβούλιο αυτών. Το πειθαρχικό συμβούλιο συγκροτείται με απόφαση του Υπουργού Εσωτερικών με θητεία 2 ετών.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Κατά της απόφασης της παραγράφου 1 που διατάσσει την παύση, ο παυθείς μπορεί να ασκήσει προσφυγή στο Συμβούλιο της Επικρατείας εντός προθεσμίας δεκαπέντε (15) ημερών από την κοινοποίηση της σε αυτόν.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Οι διατάξεις των παραγράφων 1, 3 και 10 του άρθρου 234 εφαρμόζονται αναλόγως».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128</w:t>
      </w:r>
    </w:p>
    <w:p>
      <w:pPr>
        <w:pStyle w:val="11"/>
        <w:spacing w:lineRule="auto" w:line="360"/>
        <w:jc w:val="center"/>
        <w:rPr>
          <w:rFonts w:ascii="Book Antiqua" w:hAnsi="Book Antiqua" w:cs="Arial"/>
          <w:b/>
          <w:b/>
          <w:sz w:val="24"/>
          <w:szCs w:val="24"/>
        </w:rPr>
      </w:pPr>
      <w:r>
        <w:rPr>
          <w:rFonts w:cs="Arial" w:ascii="Book Antiqua" w:hAnsi="Book Antiqua"/>
          <w:b/>
          <w:sz w:val="24"/>
          <w:szCs w:val="24"/>
        </w:rPr>
        <w:t>Αντικατάσταση άρθρου 238 του ν.3852/2010</w:t>
      </w:r>
    </w:p>
    <w:p>
      <w:pPr>
        <w:pStyle w:val="11"/>
        <w:spacing w:lineRule="auto" w:line="360"/>
        <w:jc w:val="both"/>
        <w:rPr>
          <w:rFonts w:ascii="Book Antiqua" w:hAnsi="Book Antiqua" w:cs="Arial"/>
          <w:sz w:val="24"/>
          <w:szCs w:val="24"/>
        </w:rPr>
      </w:pPr>
      <w:r>
        <w:rPr>
          <w:rFonts w:cs="Arial" w:ascii="Book Antiqua" w:hAnsi="Book Antiqua"/>
          <w:b/>
          <w:sz w:val="24"/>
          <w:szCs w:val="24"/>
        </w:rPr>
        <w:t xml:space="preserve">          </w:t>
      </w:r>
      <w:r>
        <w:rPr>
          <w:rFonts w:cs="Arial" w:ascii="Book Antiqua" w:hAnsi="Book Antiqua"/>
          <w:sz w:val="24"/>
          <w:szCs w:val="24"/>
        </w:rPr>
        <w:t>Το άρθρο 238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«Εποπτεία των ΟΤΑ μέχρι την έναρξη λειτουργίας της Αυτοτελούς Υπηρεσίας Εποπτείας Ο.Τ.Α. – Μετάταξη στην Αυτοτελή Υπηρεσία Εποπτείας ΟΤΑ προσωπικού των Αποκεντρωμένων Διοικήσεων – Έναρξη λειτουργίας Αυτοτελούς Υπηρεσίας Εποπτείας ΟΤΑ</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που βρίσκονται στην έδρα της οικείας  Αποκεντρωμένης Διοίκησης. Οι επιτροπές αυτές συγκροτούνται με απόφαση του  Συντονιστή της οικείας Αποκεντρωμένης Διοίκησης.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Η έναρξη λειτουργίας κάθε Αυτοτελούς Υπηρεσίας Εποπτείας Ο.Τ.Α. διαπιστώνεται με απόφαση του Υπουργού Εσωτερικών.</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Οι πράξεις των δήμων, των περιφερειών, των νομικών προσώπων δημοσίου δικαίου αυτών, των επιχειρήσεων τους, των συνδέσμων, καθώς και τυχόν προσφυγές που εκκρεμούν προς έλεγχο νομιμότητας και εκκρεμείς πειθαρχικές διώξεις, κατά το χρόνο έναρξης λειτουργίας της Αυτοτελούς Υπηρεσίας Εποπτείας Ο.Τ.Α. ενώπιον του Συντονιστή Αποκεντρωμένης Διοίκησης και των ως άνω Επιτροπών, διαβιβάζονται στην Αυτοτελή Υπηρεσία Εποπτείας Ο.Τ.Α. και οι σχετικές προθεσμίες αρχίζουν από την περιέλευσή τους στην εν λόγω Υπηρεσία.</w:t>
      </w:r>
    </w:p>
    <w:p>
      <w:pPr>
        <w:pStyle w:val="11"/>
        <w:numPr>
          <w:ilvl w:val="0"/>
          <w:numId w:val="32"/>
        </w:numPr>
        <w:spacing w:lineRule="auto" w:line="360"/>
        <w:jc w:val="both"/>
        <w:rPr>
          <w:rFonts w:ascii="Book Antiqua" w:hAnsi="Book Antiqua" w:eastAsia="Calibri" w:cs="Arial"/>
          <w:sz w:val="24"/>
          <w:szCs w:val="24"/>
          <w:lang w:eastAsia="el-GR"/>
        </w:rPr>
      </w:pPr>
      <w:r>
        <w:rPr>
          <w:rFonts w:cs="Arial" w:ascii="Book Antiqua" w:hAnsi="Book Antiqua"/>
          <w:sz w:val="24"/>
          <w:szCs w:val="24"/>
        </w:rPr>
        <w:t>Μέχρι την έναρξη λειτουργίας της Αυτοτελούς Υπηρεσίας Εποπτείας Ο.Τ.Α. δεν εφαρμόζεται η παράγραφος 6 του άρθρου 227.</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1080" w:hanging="0"/>
        <w:jc w:val="both"/>
        <w:rPr>
          <w:rStyle w:val="311ptChar"/>
          <w:rFonts w:cs="Arial"/>
          <w:b/>
          <w:b/>
        </w:rPr>
      </w:pPr>
      <w:r>
        <w:rPr>
          <w:rFonts w:cs="Arial"/>
          <w:b/>
        </w:rPr>
      </w:r>
    </w:p>
    <w:p>
      <w:pPr>
        <w:pStyle w:val="11"/>
        <w:spacing w:lineRule="auto" w:line="360"/>
        <w:ind w:left="2880" w:hanging="0"/>
        <w:rPr>
          <w:rStyle w:val="311ptChar"/>
          <w:b/>
          <w:b/>
        </w:rPr>
      </w:pPr>
      <w:r>
        <w:rPr>
          <w:rStyle w:val="311ptChar"/>
          <w:b/>
        </w:rPr>
        <w:t xml:space="preserve">              </w:t>
      </w:r>
      <w:r>
        <w:rPr>
          <w:rStyle w:val="311ptChar"/>
          <w:b/>
        </w:rPr>
        <w:t>Άρθρο 129</w:t>
      </w:r>
    </w:p>
    <w:p>
      <w:pPr>
        <w:pStyle w:val="11"/>
        <w:spacing w:lineRule="auto" w:line="360"/>
        <w:rPr>
          <w:rStyle w:val="311ptChar"/>
          <w:b/>
          <w:b/>
          <w:i/>
          <w:i/>
        </w:rPr>
      </w:pPr>
      <w:r>
        <w:rPr>
          <w:rStyle w:val="311ptChar"/>
          <w:b/>
        </w:rPr>
        <w:tab/>
        <w:tab/>
        <w:t xml:space="preserve">               Τελικές – Μεταβατικές διατάξεις Κεφαλαίου ΣΤ’</w:t>
      </w:r>
    </w:p>
    <w:p>
      <w:pPr>
        <w:pStyle w:val="11"/>
        <w:numPr>
          <w:ilvl w:val="0"/>
          <w:numId w:val="33"/>
        </w:numPr>
        <w:spacing w:lineRule="auto" w:line="360"/>
        <w:jc w:val="both"/>
        <w:rPr>
          <w:rStyle w:val="311ptChar"/>
        </w:rPr>
      </w:pPr>
      <w:r>
        <w:rPr>
          <w:rStyle w:val="311ptChar"/>
        </w:rPr>
        <w:t>Από την έναρξη ισχύος του παρόντος καταργούνται τα άρθρα 221, 222 και 225 του ν. 3852/2010, η παρ. 10 περ. ιζ΄ του άρθρου 18 του ν. 3870/2010, καθώς και κάθε διάταξη που ρυθμίζει διαφορετικά τον υποχρεωτικό έλεγχο νομιμότητας.</w:t>
      </w:r>
    </w:p>
    <w:p>
      <w:pPr>
        <w:pStyle w:val="11"/>
        <w:numPr>
          <w:ilvl w:val="0"/>
          <w:numId w:val="33"/>
        </w:numPr>
        <w:spacing w:lineRule="auto" w:line="360"/>
        <w:jc w:val="both"/>
        <w:rPr>
          <w:rStyle w:val="311ptChar"/>
        </w:rPr>
      </w:pPr>
      <w:r>
        <w:rPr>
          <w:rStyle w:val="311ptChar"/>
        </w:rPr>
        <w:t>Κατά την πρώτη εφαρμογή του εδαφίου β’ της παραγράφου 2 του άρθρου 214 του ν. 3852/2010, το σχετικό προεδρικό διάταγμα μπορεί να εκδοθεί και χωρίς τη γνώμη της Επιτροπής Συντονισμού και Ελέγχου Εποπτείας ΟΤΑ του άρθρου 223Α του ν. 3852/2010.</w:t>
      </w:r>
    </w:p>
    <w:p>
      <w:pPr>
        <w:pStyle w:val="11"/>
        <w:numPr>
          <w:ilvl w:val="0"/>
          <w:numId w:val="33"/>
        </w:numPr>
        <w:spacing w:lineRule="auto" w:line="360"/>
        <w:jc w:val="both"/>
        <w:rPr>
          <w:rStyle w:val="311ptChar"/>
        </w:rPr>
      </w:pPr>
      <w:r>
        <w:rPr>
          <w:rStyle w:val="311ptChar"/>
        </w:rPr>
        <w:t>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εντός 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pPr>
        <w:pStyle w:val="11"/>
        <w:numPr>
          <w:ilvl w:val="0"/>
          <w:numId w:val="33"/>
        </w:numPr>
        <w:spacing w:lineRule="auto" w:line="360"/>
        <w:jc w:val="both"/>
        <w:rPr>
          <w:rStyle w:val="311ptChar"/>
        </w:rPr>
      </w:pPr>
      <w:r>
        <w:rPr>
          <w:rStyle w:val="311ptChar"/>
        </w:rPr>
        <w:t>Οι διατάξεις του άρθρου 235 του ν. 3852/2010 εφαρμόζονται για πράξεις που φέρονται ότι τελέσθηκαν μετά την έναρξη ισχύος του παρόντος.</w:t>
      </w:r>
    </w:p>
    <w:p>
      <w:pPr>
        <w:pStyle w:val="11"/>
        <w:spacing w:lineRule="auto" w:line="360"/>
        <w:jc w:val="both"/>
        <w:rPr>
          <w:rStyle w:val="311ptChar"/>
          <w:b/>
          <w:b/>
        </w:rPr>
      </w:pPr>
      <w:r>
        <w:rPr>
          <w:b/>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Ζ’</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ΡΥΘΜΙΣΕΙΣ ΓΙΑ ΤΗΝ ΕΝΙΣΧΥΣΗ ΤΩΝ ΘΕΣΜΩΝ ΣΥΜΜΕΤΟΧΗΣ ΣΤΗΝ ΤΟΠΙΚΗ ΑΥΤΟΔΙΟΙΚΗΣΗ –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ΔΗΜΟΤΙΚΟ ΚΑΙ ΠΕΡΙΦΕΡΕΙΑΚΟ ΔΗΜΟΨΗΦΙΣΜΑ</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130</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Αντικείμενο του δημοτικού και περιφερειακού δημοψηφίσματος</w:t>
      </w:r>
    </w:p>
    <w:p>
      <w:pPr>
        <w:pStyle w:val="Normal"/>
        <w:numPr>
          <w:ilvl w:val="0"/>
          <w:numId w:val="136"/>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Δημοτικό ή περιφερειακό δημοψήφισμα μπορεί να προκηρύσσεται για κάθε θέμα, εκτός από ζητήματα σχετικά με την εθνική ασφάλεια, την εξωτερική πολιτική, τη μεταναστευτική πολιτική, την ερμηνεία και εφαρμογή διεθνών συνθηκών, ατομικά και κοινωνικά δικαιώματα,  την ελευθερία της θρησκευτικής συνείδησης και λατρείας ή με την θεσμική οργάνωση όλων των γνωστών θρησκειών. Επίσης δημοψήφισμα δεν προκηρύσσεται για θέματα δημοσιονομικής διαχείρισης του οικείου Ο.Τ.Α. και επιβολής τελών.</w:t>
      </w:r>
    </w:p>
    <w:p>
      <w:pPr>
        <w:pStyle w:val="Normal"/>
        <w:numPr>
          <w:ilvl w:val="0"/>
          <w:numId w:val="136"/>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 xml:space="preserve">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Περιφέρειας, έχει υποχρεωτικά συμβουλευτικό χαρακτήρα.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131</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Πρωτοβουλία για τη διεξαγωγή δημοψηφίσματος</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Δημοτικό ή περιφερειακό δημοψήφισμα διεξάγεται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  </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Όταν η πρωτοβουλία για τη διεξαγωγή του δημοψηφίσματος ανήκει στους εκλογείς του οικείου Δήμου ή Περιφέρειας, σύμφωνα με την περ. β’ της προηγούμενης παραγράφου, το αίτημα των ενδιαφερομένων υποβάλλεται στον πρόεδρο του Δημοτικού ή του Περιφερειακού Συμβουλίου, αντίστοιχα, ο οποίος</w:t>
      </w:r>
      <w:r>
        <w:rPr>
          <w:rFonts w:eastAsia="Times New Roman" w:cs="Tahoma" w:ascii="Book Antiqua" w:hAnsi="Book Antiqua"/>
          <w:b/>
          <w:sz w:val="24"/>
          <w:szCs w:val="24"/>
          <w:lang w:eastAsia="el-GR"/>
        </w:rPr>
        <w:t xml:space="preserve"> </w:t>
      </w:r>
      <w:r>
        <w:rPr>
          <w:rFonts w:eastAsia="Times New Roman" w:cs="Tahoma" w:ascii="Book Antiqua" w:hAnsi="Book Antiqua"/>
          <w:sz w:val="24"/>
          <w:szCs w:val="24"/>
          <w:lang w:eastAsia="el-GR"/>
        </w:rPr>
        <w:t xml:space="preserve">οφείλει να εισαγάγει το θέμα προς συζήτηση και ψήφιση στο οικείο Συμβούλιο εντός ενός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123. </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Άρθρο 132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Περιορισμοί στη διεξαγωγή δημοτικού και περιφερειακού δημοψηφίσματος</w:t>
      </w:r>
    </w:p>
    <w:p>
      <w:pPr>
        <w:pStyle w:val="Normal"/>
        <w:numPr>
          <w:ilvl w:val="0"/>
          <w:numId w:val="13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αυτοδιοικητικών αρχών ή για τη διεξαγωγή δημοψηφίσματος σε εθνικό επίπεδο. Δημοψήφισμα, επίσης, δεν επιτρέπεται να διεξαχθεί κατά το ημερολογιακό έτος της διενέργειας των εκλογών για την ανάδειξη των αυτοδιοικητικών αρχών.</w:t>
      </w:r>
    </w:p>
    <w:p>
      <w:pPr>
        <w:pStyle w:val="Normal"/>
        <w:numPr>
          <w:ilvl w:val="0"/>
          <w:numId w:val="13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Δεν μπορεί να διεξαχθεί δημοψήφισμα πριν περάσει ένα έτος από την διεξαγωγή του προηγούμενου.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133</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Διαδικασία προκήρυξης του δημοτικού ή περιφερειακού δημοψηφίσματος – Ερώτημα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δημοψήφισμα προκηρύσσεται με την απόφαση του Δημοτικού ή Περιφερειακού Συμβουλίου του άρθρου 121.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προκηρυσσόμενου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οποιαδήποτε σχετική λεπτομέρεια.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Στην περίπτωση δημοψηφίσματος που προκηρύσσεται ύστερα από αίτηση των εκλογέων, σύμφωνα με την περ. β’ της παρ. 1 του άρθρου 121 και μόνον εφόσον το αρχικώς υποβληθέν αίτημα έχει διατυπωθεί κατά τρόπο ασαφή ή πρόδηλα μεροληπτικό, το οικείο Συμβούλιο, με απόφασή του, που λαμβάνεται με πλειοψηφία 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2/3 των μελών του, να προκηρύσσει την ταυτόχρονη διεξαγωγή δημοψηφίσματος και για άλλα θέματα.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απόφαση του δημοτικού ή περιφερειακού συμβουλίου για την προκήρυξη δημοψηφίσματος δημοσιεύεται εντός τριών (3) ημερών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 xml:space="preserve">Η απόφαση για την προκήρυξη δημοτικού ή περιφερειακού δημοψηφίσματος κοινοποιείται στον Υπουργό Εσωτερικών, καθώς και στον τυχόν καθ’ ύλην αρμόδιο Υπουργό.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134</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Υποχρεωτικός έλεγχος νομιμότητας απόφασης περί διενέργειας δημοτικού ή περιφερειακού δημοψηφίσματος</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απόφαση του δημοτικού ή περιφερειακού συμβουλίου για τη διενέργεια του δημοψηφίσματος, σύμφωνα με τις προβλέψεις του άρθρου 2 του παρόντος, συνοδευόμενη από τα έγγραφα στοιχεία που είναι αναγκαία για τη νόμιμη έκδοση της, αποστέλλεται υποχρεωτικά για έλεγχο στον Επόπτη Ο.Τ.Α. εντός πέντε (5) ημερών από την επομένη της συνεδρίασης του αρμόδιου συλλογικού οργάνου.</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 Επόπτης Ο.Τ.Α. ελέγχει την νομιμότητα της απόφασης και εκδίδει υποχρεωτικά ειδική πράξη με την οποία επικυρώνεται ή ακυρώνεται η ελεγχθείσα απόφαση, εντός αποκλειστικής προθεσμίας είκοσι (20) ημερών από την περιέλευσή της σε αυτόν.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πέντε (5) ημερών από τη δημοσίευση της απόφασης ή την ανάρτησή της στο διαδίκτυο.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 Επόπτης Ο.Τ.Α. αποφαίνεται υποχρεωτικά επί της προσφυγής εντός αποκλειστικής προθεσμίας 15 ημερών από την υποβολή της.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απόφαση του Ελεγκτή νομιμότητας προσβάλλεται μόνο στα αρμόδια δικαστήρια.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135</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Ψηφοφορία – Δικαίωμα εκλέγειν</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Το δημοψήφισμα διενεργείται με άμεση, καθολική και μυστική ψηφοφορία.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ψηφοφορία διεξάγεται εντός τριάντα (45) ημερών από τη δημοσίευση της απόφασης με την οποία προκηρύσσεται το δημοψήφισμα.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ψηφοφορία διεξάγεται πάντοτε ημέρα Κυριακή και διαρκεί από τις 7.00’ έως τις 19.00’ της ίδιας ημέρας.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136</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Δημόσιος διάλογος</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εκπροσώπησης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φορείς της προηγούμενης παραγράφου, αλλά και εκλογείς, μπορούν να συγκροτούν Επιτροπές Πρωτοβουλίας για την υποστήριξη και προβολή κάποιας εκ των εναλλακτικών απαντήσεων στο ερώτημα του δημοψηφίσματος. Η συγκρότηση Επιτροπής Πρωτοβουλίας, καθώς και το φυσικό πρόσωπο που αποτελεί τον νόμιμο εκπρόσωπο αυτής, γνωστοποιούνται στον Πρόεδρο του Δημοτικού ή Περιφερειακού Συμβουλίου, αντίστοιχα.</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Για την οργάνωση και προαγωγή του δημοσίου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pPr>
        <w:pStyle w:val="Normal"/>
        <w:spacing w:lineRule="auto" w:line="360"/>
        <w:jc w:val="both"/>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both"/>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137</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Προεκλογική περίοδος – Χρηματοδότηση και δαπάνες των μετεχόντων στο δημοψήφισμα</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Ως προεκλογική περίοδος, για το δημοτικό ή περιφερειακό δημοψήφισμα, ορίζεται η περίοδος από την επομένη της προκήρυξης έως την ημέρα διεξαγωγής του δημοψηφίσματος.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Τα έσοδα και οι δαπάνες όσων μετέχουν στο δημόσιο διάλογο για το δημοψήφισμα κατά τη διάρκεια της προεκλογικής περιόδου θεωρούνται εκλογικές.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Στις Επιτροπές Πρωτοβουλίας του άρθρου 126 παρ. 2 δεν διατίθεται κρατική χρηματοδότηση.</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Απαγορεύεται η χρηματοδότηση και κάθε άλλου είδους παροχές ή διευκολύνσεις προς τις Επιτροπές Πρωτοβουλίας από:</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 Φυσικά πρόσωπα που δεν έχουν την ελληνική ιθαγένεια</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Φυσικά ή νομικά πρόσωπα που είναι ιδιοκτήτες ή εκδότες ημερήσιων ή περιοδικών εντύπων πανελλήνιας ή τοπικής κυκλοφορίας ή που είναι ιδιοκτήτες ραδιοφωνικών ή τηλεοπτικών, εν γένει, σταθμών. Η απαγόρευση της περίπτωσης αυτής, δεν περιορίζει την ισότιμη και αμερόληπτη προβολή στον Τύπο των θέσεων επί των εναλλακτικών απόψεων που τίθενται σε ψηφοφορία.</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Νομικά πρόσωπα δημόσιου ή ιδιωτικού δικαίου, και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 Οργανισμούς Τοπικής Αυτοδιοίκησης του πρώτου και του δεύτερου βαθμού.</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χρηματοδότηση από το ίδιο φυσικό πρόσωπο δεν επιτρέπεται να υπερβαίνει το ποσό των πεντακοσίων (500)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από τους συμμετέχοντες στις Επιτροπές Πρωτοβουλίας ή στη διενέργεια του δημοψηφίσματος λαμβάνει χρηματοδότηση κατά παράβαση της παραγράφου 4 του παρόντος, τιμωρείται με πρόστιμο έως δέκα χιλιάδων (10.000) ευρώ.</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χρηματοδοτεί συμμετέχοντες στις Επιτροπές Πρωτοβουλίας ή στη διενέργεια του δημοψηφίσματος κατά παράβαση της παραγράφου 4 του παρόντος, τιμωρείται με φυλάκιση έως δύο έτη και πρόστιμο τουλάχιστον πέντε χιλιάδων (5.000)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χρηματοδοτεί συμμετέχοντες στις Επιτροπές Πρωτοβουλίας ή στη διενέργεια δημοψηφίσματος κατά παράβαση της παραγράφου 5, τιμωρείται με φυλάκιση έως ένα έτος και πρόστιμο τουλάχιστον χιλίων (1.000)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υπέρβαση του ορίου δαπανών τιμωρείται με πρόστιμο που ανέρχεται στο πενταπλάσιο του ποσού της υπέρβασης.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τον ορισθέντα ως νόμιμο εκπρόσωπό τους.</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138</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 xml:space="preserve">Επιτροπή Ελέγχου Δαπανών και Εκλογικών Παραβάσεων </w:t>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 xml:space="preserve">Για τον  έλεγχο των δαπανών και εκλογικών παραβάσεων των συμμετεχόντων κατά το προηγούμενο άρθρο, συγκροτείται η προβλεπόμενη από το άρθρο 12   </w:t>
      </w:r>
      <w:r>
        <w:rPr>
          <w:rFonts w:eastAsia="Times New Roman" w:cs="Tahoma" w:ascii="Book Antiqua" w:hAnsi="Book Antiqua"/>
          <w:sz w:val="24"/>
          <w:szCs w:val="24"/>
          <w:lang w:eastAsia="el-GR"/>
        </w:rPr>
        <w:t>του ν. 3870/2010 Επιτροπή,</w:t>
      </w:r>
      <w:r>
        <w:rPr>
          <w:rFonts w:eastAsia="Times New Roman" w:cs="Tahoma" w:ascii="Book Antiqua" w:hAnsi="Book Antiqua"/>
          <w:bCs/>
          <w:sz w:val="24"/>
          <w:szCs w:val="24"/>
          <w:lang w:eastAsia="el-GR"/>
        </w:rPr>
        <w:t xml:space="preserve"> με απόφαση του Συντονιστή της οικείας Αποκεντρωμένης Διοίκησης, η οποία εκδίδεται εντός τριών (3) ημερών από την προκήρυξη του δημοψηφίσματος</w:t>
      </w:r>
      <w:r>
        <w:rPr>
          <w:rFonts w:eastAsia="Times New Roman" w:cs="Tahoma" w:ascii="Book Antiqua" w:hAnsi="Book Antiqua"/>
          <w:sz w:val="24"/>
          <w:szCs w:val="24"/>
          <w:lang w:eastAsia="el-GR"/>
        </w:rPr>
        <w:t>.</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139</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Κανόνες οικονομικής διαχείρισης</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οικονομική διαχείριση κατά τη διάρκεια της προεκλογικής περιόδου γίνεται σύμφωνα με το άρθρο 9 του ν. 3870/2010 </w:t>
      </w:r>
      <w:r>
        <w:rPr>
          <w:rFonts w:eastAsia="Times New Roman" w:cs="Tahoma" w:ascii="Book Antiqua" w:hAnsi="Book Antiqua"/>
          <w:bCs/>
          <w:sz w:val="24"/>
          <w:szCs w:val="24"/>
          <w:lang w:eastAsia="el-GR"/>
        </w:rPr>
        <w:t>(Α’ 138)</w:t>
      </w:r>
      <w:r>
        <w:rPr>
          <w:rFonts w:eastAsia="Times New Roman" w:cs="Tahoma" w:ascii="Book Antiqua" w:hAnsi="Book Antiqua"/>
          <w:sz w:val="24"/>
          <w:szCs w:val="24"/>
          <w:lang w:eastAsia="el-GR"/>
        </w:rPr>
        <w:t>.</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εντός ενός (1) μήνα από τη διεξαγωγή του δημοψηφίσματος και αναρτάται με ευθύνη του τελευταίου στην ιστοσελίδα του Δήμου ή της Περιφέρειας.</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140</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 xml:space="preserve">Δημόσια προβολή -  Απαγορεύσεις κατά τη διάρκεια της προεκλογικής περιόδου –Δημοσκοπήσεις </w:t>
      </w:r>
    </w:p>
    <w:p>
      <w:pPr>
        <w:pStyle w:val="Normal"/>
        <w:numPr>
          <w:ilvl w:val="0"/>
          <w:numId w:val="145"/>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απαγορεύεται να μεταδίδουν μηνύματα όσων συμμετέχουν στο δημοψήφισμα. Ως προς τις απαγορεύσεις που αφορούν τους μετέχοντες στο δημοψήφισμα, ισχύει αναλόγως το άρθρο 46 του π.δ. 26/2012 (Α’ 57).</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Ως προς τη δημοσιοποίηση δημοσκοπήσεων ισχύει αναλόγως το άρθρο</w:t>
      </w:r>
      <w:r>
        <w:rPr>
          <w:rFonts w:eastAsia="Times New Roman" w:cs="Tahoma" w:ascii="Book Antiqua" w:hAnsi="Book Antiqua"/>
          <w:sz w:val="24"/>
          <w:szCs w:val="24"/>
          <w:lang w:eastAsia="el-GR"/>
        </w:rPr>
        <w:t xml:space="preserve"> 49 του π.δ. 26/2012.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141</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Αντιπρόσωποι και έφοροι δικαστικής αρχής – Εφορευτικές επιτροπές</w:t>
      </w:r>
    </w:p>
    <w:p>
      <w:pPr>
        <w:pStyle w:val="Normal"/>
        <w:numPr>
          <w:ilvl w:val="0"/>
          <w:numId w:val="146"/>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Για τον ορισμό των αντιπροσώπων και των εφόρων της δικαστικής αρχής και των εφορευτικών επιτροπών, 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 </w:t>
      </w:r>
    </w:p>
    <w:p>
      <w:pPr>
        <w:pStyle w:val="Normal"/>
        <w:numPr>
          <w:ilvl w:val="0"/>
          <w:numId w:val="146"/>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 </w:t>
      </w:r>
      <w:r>
        <w:rPr>
          <w:rFonts w:eastAsia="Times New Roman" w:cs="Tahoma" w:ascii="Book Antiqua" w:hAnsi="Book Antiqua"/>
          <w:bCs/>
          <w:sz w:val="24"/>
          <w:szCs w:val="24"/>
          <w:lang w:eastAsia="el-GR"/>
        </w:rPr>
        <w:t xml:space="preserve">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άλλη σχετική λεπτομέρεια καθορίζεται με απόφαση του δημάρχου ή περιφερειάρχη.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142</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Εκλογικά τμήματα – Καταστήματα ψηφοφορίας</w:t>
      </w:r>
    </w:p>
    <w:p>
      <w:pPr>
        <w:pStyle w:val="Normal"/>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Το δημοψήφισμα διεξάγεται στα ίδια εκλογικά τμήματα στα οποία διεξήχθησαν οι τελευταίες αυτοδιοικητικές εκλογές στον οικείο δήμο ή περιφέρεια.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143</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Ψηφοδέλτια</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Τα ψηφοδέλτια έχουν ορθογώνιο σχήμα και κατασκευάζονται ομοιόμορφα από λευκό χαρτί με φροντίδα του οικείου δήμου ή περιφέρειας.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Τα ψηφοδέλτια και οι φάκελοι θα πρέπει να βρίσκονται στη διάθεση του οικείου δημάρχου ή  αντιπεριφερειάρχη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r>
        <w:rPr>
          <w:rFonts w:eastAsia="Times New Roman" w:cs="Tahoma" w:ascii="Book Antiqua" w:hAnsi="Book Antiqua"/>
          <w:sz w:val="24"/>
          <w:szCs w:val="24"/>
          <w:lang w:eastAsia="el-GR"/>
        </w:rPr>
        <w:t xml:space="preserve">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144</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Τρόπος ψηφοφορίας</w:t>
      </w:r>
    </w:p>
    <w:p>
      <w:pPr>
        <w:pStyle w:val="Normal"/>
        <w:numPr>
          <w:ilvl w:val="0"/>
          <w:numId w:val="14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εκλογείς εκφράζουν την προτίμησή τους σε έντυπο ψηφοδέλτιο θέτοντας σταυρό μαύρης ή κυανής απόχρωσης παραπλεύρως μίας εκ των διαθέσιμων προεπιλεγμένων απαντήσεων που έχουν καθοριστεί με την απόφαση προκήρυξης του δημοψηφίσματος για κάθε ερώτημα.</w:t>
      </w:r>
    </w:p>
    <w:p>
      <w:pPr>
        <w:pStyle w:val="Normal"/>
        <w:numPr>
          <w:ilvl w:val="0"/>
          <w:numId w:val="14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Ψηφοδέλτιο που δεν φέρει σταυρό παραπλεύρως μίας από τις διαθέσιμες απαντήσεις κατά την προηγούμενη παράγραφο θεωρείται, ως προς το συγκεκριμένο ερώτημα, λευκό.</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Στις λοιπές περιπτώσεις εφαρμόζονται αναλόγως τα άρθρο 73 και 76 του π.δ. 26/2012.</w:t>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145</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Διαλογή των ψήφων – Επικρατούσα απάντηση</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Από τις προτιμήσεις των ψηφοφόρων σε κάθε ερώτημα επικρατεί εκείνη, η οποία συγκεντρώνει την απόλυτη πλειοψηφία των έγκυρων ψηφοδελτίων.</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Στα έγκυρα ψηφοδέλτια δεν προσμετρώνται τα λευκά.</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Κατά τα λοιπά για τη διαλογή των ψηφοδελτίων και την εξαγωγή του αποτελέσματος της ψηφοφορίας εφαρμόζονται αναλόγως τα άρθρα 89-94 του π.δ. 26/2012.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146</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Αποτέλεσμα της ψηφοφορίας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Την επομένη της ψηφοφορίας αρχίζει από το αρμόδιο Πρωτοδικείο η συγκέντρωση και η εξαγωγή των αποτελεσμάτων της ψηφοφορίας.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Στον πίνακα αποτελεσμάτων περιλαμβάνονται: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α. ο αριθμός των εγγεγραμμένων ψηφοφόρων,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ο αριθμός των ψηφοφόρων που ψήφισαν,</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γ. ο αριθμός των εγκύρων ψηφοδελτίων,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 ο αριθμός των λευκών ψηφοδελτίων, και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ε. ο αριθμός των άκυρων ψηφοδελτίων</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 αριθμός των εγκύρων ψηφοδελτίων που συγκέντρωσαν οι απαντήσεις σε κάθε ερώτημα.</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 πίνακας υπογράφεται από τον Πρόεδρο του Πρωτοδικείου.</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  </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διεξήχθη το δημοψήφισμα.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147</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Έλεγχος του κύρους του δημοψηφίσματος</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και του αποτελέσματος της ψηφοφορίας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ένσταση κατά του κύρους του δημοψηφίσματος και του αποτελέσματος της ψηφοφορίας ασκείται με δικόγραφο, το οποίο κατατίθεται μαζί με τρία αντίγραφα στην αρχή που εξέδωσε την προσβαλλόμενη πράξη, μέσα σε προθεσμία επτά (7) ημερών από τη λήξη του χρόνου έκθεσης της πράξης με την οποία ανακηρύσσεται το αποτέλεσμα της ψηφοφορίας. </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δικόγραφο της ένστασης απαιτείται να περιέχει τα στοιχεία που προβλέπονται στο άρθρο 251 του Κώδικα Διοικητικής Δικονομίας.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διαβίβαση της ένστασης στο αρμόδιο για την εκδίκαση της δικαστήριο γίνεται σύμφωνα με τα όσα ορίζονται στο άρθρο 252 του Κώδικα Διοικητικής Δικονομίας.</w:t>
      </w:r>
    </w:p>
    <w:p>
      <w:pPr>
        <w:pStyle w:val="Normal"/>
        <w:numPr>
          <w:ilvl w:val="0"/>
          <w:numId w:val="150"/>
        </w:numPr>
        <w:spacing w:lineRule="auto" w:line="360"/>
        <w:jc w:val="both"/>
        <w:rPr>
          <w:rFonts w:ascii="Book Antiqua" w:hAnsi="Book Antiqua" w:eastAsia="Times New Roman" w:cs="Tahoma"/>
          <w:b/>
          <w:b/>
          <w:sz w:val="24"/>
          <w:szCs w:val="24"/>
          <w:lang w:eastAsia="el-GR"/>
        </w:rPr>
      </w:pPr>
      <w:r>
        <w:rPr>
          <w:rFonts w:eastAsia="Times New Roman" w:cs="Tahoma" w:ascii="Book Antiqua" w:hAnsi="Book Antiqua"/>
          <w:sz w:val="24"/>
          <w:szCs w:val="24"/>
          <w:lang w:eastAsia="el-GR"/>
        </w:rPr>
        <w:t>Οι ενστάσεις κατά του κύρους του δημοψηφίσματος και του αποτελέσματος της ψηφοφορίας συζητούνται κατά προτίμηση και πάντως εντός μηνός από τη διεξαγωγή της ψηφοφορίας. Η απόφαση του Διοικητικού Εφετείου εκδίδεται εντός προθεσμίας τριάντα ημερών από τη διεξαγωγή της συζήτησης</w:t>
      </w:r>
      <w:r>
        <w:rPr>
          <w:rFonts w:eastAsia="Times New Roman" w:cs="Tahoma" w:ascii="Book Antiqua" w:hAnsi="Book Antiqua"/>
          <w:b/>
          <w:sz w:val="24"/>
          <w:szCs w:val="24"/>
          <w:lang w:eastAsia="el-GR"/>
        </w:rPr>
        <w:t>.</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148</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Τελικές – Μεταβατικές διατάξεις Κεφαλαίου Ζ’</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Για όσα θέματα δεν ρυθμίζονται ειδικά στον παρόντα νόμο, εφαρμόζονται ανάλογα οι διατάξεις του π.δ. 26/2012.</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Με απόφαση του Υπουργού Εσωτερικών και των κατά περίπτωση συναρμόδιων Υπουργών, όπου τούτο απαιτείται, μπορεί να ρυθμίζεται κάθε ειδικότερο θέμα σχετικό με την εφαρμογή των διατάξεων του Κεφαλαίου αυτού του παρόντος νόμου.</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Το άρθρο 216 του ν. 3463/2006 (ΦΕΚ Α’ 11) καταργείται.</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περ. η’ της παρ. 1 του άρθρου 225 του ν. 3852/2010 (Α’ 87) καταργείται.</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Οι διατάξεις του κεφαλαίου Ζ’ ισχύουν από την επόμενη αυτοδιοικητική περίοδο.</w:t>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ΔΗΜΟΤΙΚΗ ΚΑΙ ΠΕΡΙΦΕΡΕΙΑΚΗ ΔΙΑΜΕΣΟΛΑΒΗΣΗ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ΓΕΝΙΚΕΣ ΑΡΧΕΣ ΔΗΜΟΤΙΚΗΣ &amp; ΠΕΡΙΦΕΡΕΙΑΚΗΣ ΔΙΑΜΕΣΟΛΑΒΗΣΗΣ – ΟΡΓΑΝΑ</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149</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Σκοπός της δημοτικής και περιφερειακής διαμεσολάβησης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Σκοπός της δημοτικής και περιφερειακής διαμεσολάβησης είναι :</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α) η καταπολέμηση φαινομένων κακοδιοίκησης στους ΟΤΑ και τα νομικά πρόσωπα αυτών,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β) η βελτίωση της σχέσης των πολιτών με τις δημοτικές και περιφερειακές αρχές,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pPr>
        <w:pStyle w:val="Normal"/>
        <w:spacing w:lineRule="auto" w:line="360" w:before="0" w:after="0"/>
        <w:jc w:val="both"/>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both"/>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eastAsia="Times New Roman" w:cs="Arial"/>
          <w:b/>
          <w:b/>
          <w:sz w:val="24"/>
          <w:szCs w:val="24"/>
        </w:rPr>
      </w:pPr>
      <w:r>
        <w:rPr>
          <w:rFonts w:cs="Arial" w:ascii="Book Antiqua" w:hAnsi="Book Antiqua"/>
          <w:b/>
          <w:bCs/>
          <w:sz w:val="24"/>
          <w:szCs w:val="24"/>
          <w:lang w:eastAsia="el-GR"/>
        </w:rPr>
        <w:t>Άρθρο 150</w:t>
        <w:br/>
      </w:r>
      <w:r>
        <w:rPr>
          <w:rFonts w:eastAsia="Times New Roman" w:cs="Arial" w:ascii="Book Antiqua" w:hAnsi="Book Antiqua"/>
          <w:b/>
          <w:sz w:val="24"/>
          <w:szCs w:val="24"/>
        </w:rPr>
        <w:t>Όργανα δημοτικής και περιφερειακής διαμεσολάβησης</w:t>
      </w:r>
    </w:p>
    <w:p>
      <w:pPr>
        <w:pStyle w:val="Normal"/>
        <w:numPr>
          <w:ilvl w:val="0"/>
          <w:numId w:val="11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Πενήντα (50) Δημοτικοί Διαμεσολαβητές με αρμοδιότητα, ο καθένας, τους πρωτοβάθμιους Ο.Τ.Α. και τα νομικά πρόσωπα αυτών κάθε νομού, πλην Αττικής.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pPr>
        <w:pStyle w:val="Normal"/>
        <w:numPr>
          <w:ilvl w:val="0"/>
          <w:numId w:val="11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151</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Γενικές αρχές που διέπουν την τοπική και περιφερειακή διαμεσολάβηση</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Η δημοτική και περιφερειακή διαμεσολάβηση ασκείται με γνώμονα τη νομιμότητα, τη διαφάνεια, την αποτελεσματικότητα της διοίκησης και την προστασία των δικαιωμάτων των πολιτών.</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Ως Δημοτικοί και Περιφερειακοί Διαμεσολαβητές επιλέγονται πρόσωπα εγνωσμένου κύρους και ικανοτήτων, με τα προσόντα που ορίζονται στο επόμενο άρθρο.</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Δημοτικοί και Περιφερειακοί Διαμεσολαβητές διαθέτουν, κατά την άσκηση των καθηκόντων τους,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Β’</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ΠΡΟΣΟΝΤΑ – ΕΓΓΥΗΣΕΙΣ ΛΕΙΤΟΥΡΓΙΚΗΣ ΚΑΙ ΠΡΟΣΩΠΙΚΗΣ ΑΝΕΞΑΡΤΗΣΙΑΣ ΔΗΜΟΤΙΚΩΝ ΚΑΙ ΠΕΡΙΦΕΡΕΙΑΚΩΝ ΔΙΑΜΕΣΟΛΑΒΗΤΩΝ</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152</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Προσόντα του Δημοτικού και Περιφερειακού Διαμεσολαβητή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numPr>
          <w:ilvl w:val="0"/>
          <w:numId w:val="11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Για την επιλογή σε θέση Δημοτικού ή Περιφερειακού Διαμεσολαβητή απαιτούνται τα ακόλουθα ελάχιστα τυπικά προσόντα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Κατοχή πτυχίου νομικών, πολιτικών, διοικητικών ή οικονομικών επιστημών</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Προϋπηρεσία τουλάχιστον πέντε (5) ετών σε συναφές με τις ανωτέρω επιστήμες αντικείμενο και</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άριστη γνώση τουλάχιστον μιας ξένης γλώσσας.</w:t>
      </w:r>
    </w:p>
    <w:p>
      <w:pPr>
        <w:pStyle w:val="Normal"/>
        <w:numPr>
          <w:ilvl w:val="0"/>
          <w:numId w:val="113"/>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υπολογίζεται κανονικά ως χρόνος πραγματικής υπηρεσίας σε θέση προϊσταμένου επιπέδου Διεύθυνσης, ως προς όλες τις υπηρεσιακές, μισθολογικές και ασφαλιστικές συνέπειες.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153</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Επαγγελματική δραστηριότητα – Κωλύματα και ασυμβίβαστα</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Τα κωλύματα και τα ασυμβίβαστα που ισχύουν για τους αιρετούς των Ο.Τ.Α. α’ και β’ βαθμού, δυνάμει των άρθρων 14, 15 και 117, 118 του ν. 3852/2010, ισχύουν, αντίστοιχα, και για τους Δημοτικούς και Περιφερειακούς Διαμεσολαβητές.</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Επιπλέον των αναφερόμενων στην προηγούμενη παράγραφο, δεν επιτρέπεται να επιλεγούν σε θέση Δημοτικού ή Περιφερειακού Διαμεσολαβητή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όσοι έχουν διατελέσει αιρετοί, έως και πέντε (5) χρόνια πριν την έκδοση της σχετικής προκήρυξης σε οποιοδήποτε αυτοδιοικητικό αξίωμα στον οικείο νομό, ακόμα και αν παραιτηθούν του αιρετού αξιώματός τους,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οι διατελέσαντες δικαστικοί λειτουργοί και οι αξιωματικοί των ενόπλων δυνάμεων και των σωμάτων ασφαλείας,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όσοι έχουν καταδικαστεί για οποιοδήποτε από τα αδικήματα που αποτελούν κώλυμα διορισμού βάσει του Υπαλληλικού Κώδικα.</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154</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Ευθύνη του Δημοτικού και Περιφερειακού Διαμεσολαβητή</w:t>
      </w:r>
    </w:p>
    <w:p>
      <w:pPr>
        <w:pStyle w:val="Normal"/>
        <w:numPr>
          <w:ilvl w:val="0"/>
          <w:numId w:val="115"/>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Περιφερειακός Διαμεσολαβητής δεν διώκεται για γνώμη που διατυπώνει στην άσκηση των καθηκόντων του, με την επιφύλαξη των διατάξεων περί συκοφαντικής δυσφήμησης.</w:t>
      </w:r>
    </w:p>
    <w:p>
      <w:pPr>
        <w:pStyle w:val="Normal"/>
        <w:numPr>
          <w:ilvl w:val="0"/>
          <w:numId w:val="115"/>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Διαμεσολαβητής ευθύνεται αστικά μόνο για δόλο ή βαριά αμέλεια.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155</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Αντιμισθία</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Διαμεσολαβητής λαμβάνει αντιμισθία α) ισόποση με ποσοστό 80% επί των συνολικών αποδοχών των  προϊσταμένων Γενικών Διευθύνσεων, όταν έχει αρμοδιότητα είτε σε νομό με πληθυσμό άνω των 100.000 κατοίκων είτε σε μία από τις Περιφερειακές Ενότητες του Νομού Αττικής, β)  ισόποση με ποσοστό 60% επί των συνολικών αποδοχών των  προϊσταμένων Γενικών Διευθύνσεων, όταν έχει αρμοδιότητα σε νομό με πληθυσμό κάτω των 100.000 κατοίκων, </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Περιφερειακός Διαμεσολαβητής λαμβάνει αντιμισθία ισόποση με ποσοστό 80% επί των συνολικών αποδοχών των  προϊσταμένων Γενικών Διευθύνσεων.</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Σε περίπτωση που τη θέση του Διαμεσολαβητή καταλαμβάνει δημόσιος υπάλληλος, αυτός επιλέγει είτε την αντιμισθία του Διαμεσολαβητή είτε τις αποδοχές της οργανικής του θέσεις, οι οποίες καταβάλλονται από τον οικείο Δήμο ή Περιφέρεια, σύμφωνα με τα άρθρα 154 και 155 αντίστοιχα.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ΤΜΗΜΑ Γ’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ΕΠΙΛΟΓΗ ΔΗΜΟΤΙΚΟΥ &amp; ΠΕΡΙΦΕΡΕΙΑΚΟΥ ΔΙΑΜΕΣΟΛΑΒΗΤΗ – ΘΗΤΕΙΑ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156</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Θητεία του Δημοτικού και Περιφερειακού Διαμεσολαβητή</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και ο Περιφερειακός Διαμεσολαβητής επιλέγονται για πενταετή θητεία, με δυνατότητα ανανέωσης για μία (1) ακόμα φορά. </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Εάν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με την ίδια διαδικασία που ορίζεται. Στην περίπτωση αυτή ο νέος Διαμεσολαβητής επιλέγεται για πλήρη θητεία.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 </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157</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Διαδικασία επιλογής του Δημοτικού Διαμεσολαβητή</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Έξι (6) μήνες πριν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ενώ επιπλέον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εντός ενός (1) μήνα από την ανάληψη των καθηκόντων των νέων Δημοτικών Αρχών.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Δημοτικού Διαμεσολαβητή υποβάλλουν τις αιτήσεις τους στο δήμο της έδρας του νομού.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δημάρχου της έδρας του νομού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Οι εκπρόσωποι των δημοτικών συμβουλίων του νομού στην οικεία Περιφερειακή Ένωση Δήμων (ΠΕΔ), πλην του Δημάρχου, συνιστούν το αρμόδιο για την επιλογή Δημοτικού Διαμεσολαβητή εκλεκτορικό σώμα. </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την πάροδο εξήντα (60) ημερών από την έκδοση της απόφασης της παραγράφου 3 εκδίδεται πρόσκληση του δημάρχου της έδρας του νομού για ειδική δημόσια συνεδρίαση του ως άνω οργάνου. Στη συνεδρίαση αυτή γίνεται ακρόαση των υποψηφίων για τη θέση του Διαμεσολαβητή.</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 </w:t>
      </w:r>
      <w:r>
        <w:rPr>
          <w:rFonts w:eastAsia="Times New Roman" w:cs="Arial" w:ascii="Book Antiqua" w:hAnsi="Book Antiqua"/>
          <w:sz w:val="24"/>
          <w:szCs w:val="24"/>
        </w:rPr>
        <w:t>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ο υποψήφιος που συγκέντρωσε τις περισσότερες ψήφους.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Για το διορισμό του εκλεγέντος Δημοτικού Διαμεσολαβητή εκδίδεται διαπιστωτική πράξη του Δημάρχου της έδρας του Νομού, η οποία δημοσιεύεται στην Εφημερίδα της Κυβερνήσεως.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Πριν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Όλες οι διαδικαστικές ενέργειες των προηγούμενων παραγράφων είναι υποχρεωτικές για τον Δήμαρχο της έδρας του Νομού και για τα μέλη του εκλεκτορικού σώματος της παρ. 5. Τυχόν παραβίασή τους θεωρείται σοβαρή παράβαση καθήκοντος.</w:t>
      </w:r>
    </w:p>
    <w:p>
      <w:pPr>
        <w:pStyle w:val="Normal"/>
        <w:spacing w:lineRule="auto" w:line="360" w:before="0" w:after="0"/>
        <w:ind w:left="36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158</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Διαδικασία επιλογής του Περιφερειακού Διαμεσολαβητή</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Έξι (6) μήνες πριν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εντός ενός (1) μήνα από την ανάληψη των καθηκόντων των νέων Περιφερειακών Αρχών.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Περιφερειάρχη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Αρμόδιο όργανο για την επιλογή Περιφερειακού Διαμεσολαβητή είναι το οικείο Περιφερειακό Συμβούλιο.</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Στη συνεδρίαση αυτή γίνεται ακρόαση των υποψηφίων για τη θέση του Διαμεσολαβητή. </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ο υποψήφιος που συγκέντρωσε τις περισσότερες ψήφους.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Για το διορισμό του εκλεγέντος Περιφερειακού Διαμεσολαβητή εκδίδεται διαπιστωτική πράξη του Περιφερειάρχη, η οποία δημοσιεύεται στην Εφημερίδα της Κυβερνήσεως.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Πριν την ανάληψη των καθηκόντων του, ο Περιφερειακός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Όλες οι διαδικαστικές ενέργειες των προηγούμενων παραγράφων είναι υποχρεωτικές για τον Περιφερειάρχη και τα μέλη του Περιφερειακού Συμβουλίου. Τυχόν παραβίασή τους θεωρείται σοβαρή παράβαση καθήκοντος.</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159</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 xml:space="preserve">Παύση Διαμεσολαβητή </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ο Περιφερειακός Διαμεσολαβητή μπορούν να παυθούν, με απόφαση του οργάνου που είναι αρμόδιο για την εκλογή τους, με πλειοψηφία τριών πέμπτων (3/5) του συνολικού αριθμού των μελών του, κατόπιν προηγούμενης σύμφωνης γνώμης της επιτροπής της παραγράφου 3, για σοβαρή πλημμέλεια στην άσκηση των καθηκόντων του.</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απόφαση της ίδιας επιτροπής διαπιστώνεται η αντικειμενική αδυναμία του Διαμεσολαβητή να ασκήσει τα καθήκοντά του, για λόγους ανωτέρας βίας, όπως ιδίως λόγοι υγείας.</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εντός δύο (2) μηνών από την εγκατάσταση των νέων κάθε φορά δημοτικών και περιφερειακών αρχών.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Δ’</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ΑΡΜΟΔΙΟΤΗΤΕΣ ΔΗΜΟΤΙΚΟΥ &amp; ΠΕΡΙΦΕΡΕΙΑΚΟΥ ΔΙΑΜΕΣΟΛΑΒΗΤΗ</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160</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Καθ’ ύλην αρμοδιότητα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και ο Περιφερειακός Διαμεσολαβητής επιλαμβάνεται, κατόπιν υποβολής ενυπόγραφης αναφοράς από </w:t>
      </w:r>
      <w:r>
        <w:rPr>
          <w:rFonts w:eastAsia="Times New Roman" w:ascii="Book Antiqua" w:hAnsi="Book Antiqua"/>
          <w:sz w:val="24"/>
          <w:szCs w:val="24"/>
        </w:rPr>
        <w:t xml:space="preserve">θιγόμενα φυσικά ή νομικά πρόσωπα ή και αυτεπαγγέλτως,  υποθέσεων που αφορούν κακοδιοίκηση ή προβληματική εν γένει λειτουργία των υπηρεσιών του δήμου, της περιφέρειας, των νομικών τους προσώπων και των επιχειρήσεών τους και διαμεσολαβεί προκειμένου να επιλυθούν οι σχετικές διαφορές, </w:t>
      </w:r>
      <w:r>
        <w:rPr>
          <w:rFonts w:eastAsia="Times New Roman" w:cs="Arial" w:ascii="Book Antiqua" w:hAnsi="Book Antiqua"/>
          <w:sz w:val="24"/>
          <w:szCs w:val="24"/>
        </w:rPr>
        <w:t>προστατεύοντας τα δικαιώματα των διοικουμένων έναντι των εν λόγω υπηρεσιών.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161</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Επιμέρους αρμοδιότητες – Τρόπος επίλυσης υποθέσεων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Περιφερειακός Διαμεσολαβητής εκπληρώνει τους σκοπούς του άρθρου 139, εντός των ορίων της τοπικής και καθ’ ύλην αρμοδιότητάς του, με τους εξής, κυρίως, τρόπους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 Ενημέρωση,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 με βάση το εκάστοτε ισχύον θεσμικό πλαίσιο.</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Έκδοση σχετικού πληροφοριακού υλικού.</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 Διαμεσολάβηση,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Παραλαβή καταγγελιών και αναφορών πολιτών και εξέτασή τους.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γγ) Οργάνωση συναντήσεων διαμεσολάβησης μεταξύ των ενδιαφερόμενων πολιτών και των αρμόδιων αιρετών ή υπηρεσιακών στελεχών.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δδ) Σύνταξη και κοινοποίηση έγγραφων αναφορών στον αρμόδιο Επόπτη ΟΤΑ ή και στον Υπουργό Εσωτερικών.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 Δημοσιότητα,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μήνα από την κοινοποίηση σε αυτά.</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εντός ενός (1) μήνα από την παραλαβή τους, με ευθύνη του Προέδρου του.</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162</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Σχέσεις του Διαμεσολαβητή με τους πολίτες</w:t>
      </w:r>
    </w:p>
    <w:p>
      <w:pPr>
        <w:pStyle w:val="Normal"/>
        <w:numPr>
          <w:ilvl w:val="0"/>
          <w:numId w:val="12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Σε περίπτωση που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pPr>
        <w:pStyle w:val="Normal"/>
        <w:numPr>
          <w:ilvl w:val="0"/>
          <w:numId w:val="12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163</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Σχέσεις του Διαμεσολαβητή με τις αυτοδιοικητικές υπηρεσίες</w:t>
      </w:r>
    </w:p>
    <w:p>
      <w:pPr>
        <w:pStyle w:val="Normal"/>
        <w:numPr>
          <w:ilvl w:val="0"/>
          <w:numId w:val="12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 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εντός προθεσμίας τριάντα (30) ημερών από την παραλαβή τους. Άρνηση υπαλλήλου να συνεργαστεί με το Διαμεσολαβητή κατά τη διεξαγωγή της έρευνας, συνιστά πειθαρχικό παράπτωμα.</w:t>
      </w:r>
    </w:p>
    <w:p>
      <w:pPr>
        <w:pStyle w:val="Normal"/>
        <w:numPr>
          <w:ilvl w:val="0"/>
          <w:numId w:val="12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εντός εξήντα (60) ημερών,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pPr>
        <w:pStyle w:val="Normal"/>
        <w:spacing w:lineRule="auto" w:line="360" w:before="0" w:after="0"/>
        <w:jc w:val="both"/>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ΤΜΗΜΑ Ε’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ΟΡΓΑΝΩΤΙΚΗ ΣΥΓΚΡΟΤΗΣΗ – ΔΙΟΙΚΗΤΙΚΗ ΥΠΟΣΤΗΡΙΞΗ ΤΟΥ ΕΡΓΟΥ ΤΟΥ ΔΗΜΟΤΙΚΟΥ &amp; ΤΟΥ ΠΕΡΙΦΕΡΕΙΑΚΟΥ ΔΙΑΜΕΣΟΛΑΒΗΤΗ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164</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Αυτοτελές Γραφείο Δημοτικού Διαμεσολαβητή</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 xml:space="preserve">Σε κάθε Δήμο που αποτελεί έδρα του οικείου Δημοτικού Διαμεσολαβητή συστήνεται υποχρεωτικά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 σκοπό αυτό, εντός προθεσμίας δέκα (10) εργάσιμων ημερών από την επιλογή του Δημοτικού Διαμεσολαβητή, σύμφωνα με το άρθρο 147,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 και με βάση τα τυπικά τους προσόντα και την υπηρεσιακή τους εμπειρία, τους υπαλλήλους προς απόσπαση, με δήλωσή του, που κοινοποιείται στον δήμαρχο του δήμου της έδρας του νομού και στον δήμαρχο του δήμου στον οποίο ανήκει η οργανική θέση κάθε αποσπώμενου υπαλλήλου. Η απόσπαση διενεργείται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 </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165</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Αυτοτελές Γραφείο Περιφερειακού Διαμεσολαβητή</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Στην έδρα κάθε Περιφέρειας συστήνεται υποχρεωτικά Αυτοτελές Γραφείο Περιφερειακού Διαμεσολαβητή. Επικεφαλής του οικείου Γραφείου είναι ο Περιφερειακός Διαμεσολαβητής, 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 σκοπό αυτό  Για το σκοπό αυτό, εντός προθεσμίας δέκα (10) εργάσιμων ημερών από την επιλογή του Περιφερειακού Διαμεσολαβητή, σύμφωνα με το άρθρο 148,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 Η απόσπαση διενεργείται με απόφαση του Περιφερειάρχη,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λοιπές λειτουργικές δαπάνες, βαρύνουν τον προϋπολογισμό της Περιφέρειας, εγγράφονται δε σε ειδικό προς τούτο κωδικό.</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Γραφείο Διαμεσολαβητή λειτουργεί καθημερινά, δέχεται δε καταγγελίες και αιτήματα πολιτών ηλεκτρονικά, έγγραφα, τηλεφωνικά ή με αυτοπρόσωπη προφορική έκθεση.</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ΣΤ’</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ΕΘΝΙΚΟ ΣΥΜΒΟΥΛΙΟ ΤΟΠΙΚΩΝ ΔΙΑΜΕΣΟΛΑΒΗΤΩΝ</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166</w:t>
      </w:r>
    </w:p>
    <w:p>
      <w:pPr>
        <w:pStyle w:val="Normal"/>
        <w:spacing w:lineRule="auto" w:line="360" w:before="0" w:after="0"/>
        <w:jc w:val="center"/>
        <w:rPr>
          <w:rFonts w:ascii="Book Antiqua" w:hAnsi="Book Antiqua" w:cs="Arial"/>
          <w:bCs/>
          <w:sz w:val="24"/>
          <w:szCs w:val="24"/>
          <w:lang w:eastAsia="el-GR"/>
        </w:rPr>
      </w:pPr>
      <w:r>
        <w:rPr>
          <w:rFonts w:cs="Arial" w:ascii="Book Antiqua" w:hAnsi="Book Antiqua"/>
          <w:b/>
          <w:bCs/>
          <w:sz w:val="24"/>
          <w:szCs w:val="24"/>
          <w:lang w:eastAsia="el-GR"/>
        </w:rPr>
        <w:t>Σύσταση Εθνικού Συμβουλίου Διαμεσολαβητών</w:t>
      </w:r>
    </w:p>
    <w:p>
      <w:pPr>
        <w:pStyle w:val="Normal"/>
        <w:numPr>
          <w:ilvl w:val="0"/>
          <w:numId w:val="125"/>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pPr>
        <w:pStyle w:val="Normal"/>
        <w:numPr>
          <w:ilvl w:val="0"/>
          <w:numId w:val="125"/>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167</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Αρμοδιότητες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Εθνικό Συμβούλιο Διαμεσολαβητών είναι αρμόδιο για:</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α) Το συντονισμό και την προαγωγή της συνεργασίας και της συναντίληψης μεταξύ των Δημοτικών και Περιφερειακών Διαμεσολαβητών, με στόχο την όσο το δυνατόν πιο ομοιόμορφη αντιμετώπιση αντίστοιχων προβλημάτων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 Τη διατύπωση απόψεων σχετικά με όλα τα ζητήματα που αφορούν τη βελτίωση της οργάνωσης και της λειτουργίας της Τοπικής Αυτοδιοίκησης, εφ’ όσον του ζητηθεί ή κάθε φορά που το κρίνει σκόπιμο.</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δ) Την προαγωγή του θεσμού της τοπικής και περιφερειακής διαμεσολάβησης και την ανάληψη πρωτοβουλιών για την ενημέρωση του κοινού.</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ε) Τη συνεργασία με το αρμόδιο Υπουργείο, καθώς και με όλους τους συναρμόδιους φορείς, όπως το Συνήγορο του Πολίτη, τον Γενικό Επιθεωρητή Δημόσιας Διοίκησης και λοιπά ελεγκτικά σώματα της Διοίκησης, τον Επόπτη ΟΤΑ, την ΚΕΔΕ, την ΕΝΠΕ και φορείς συνδικαλιστικής εκπροσώπησης εργαζομένων στους ΟΤΑ.</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168</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Συγκρότηση και λειτουργία</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εκλέγει :</w:t>
      </w:r>
    </w:p>
    <w:p>
      <w:pPr>
        <w:pStyle w:val="Normal"/>
        <w:spacing w:lineRule="auto" w:line="360" w:before="0" w:after="0"/>
        <w:ind w:left="720" w:hanging="0"/>
        <w:jc w:val="both"/>
        <w:rPr>
          <w:rFonts w:ascii="Book Antiqua" w:hAnsi="Book Antiqua" w:cs="Arial"/>
          <w:bCs/>
          <w:sz w:val="24"/>
          <w:szCs w:val="24"/>
          <w:lang w:eastAsia="el-GR"/>
        </w:rPr>
      </w:pPr>
      <w:r>
        <w:rPr>
          <w:rFonts w:cs="Arial" w:ascii="Book Antiqua" w:hAnsi="Book Antiqua"/>
          <w:bCs/>
          <w:sz w:val="24"/>
          <w:szCs w:val="24"/>
          <w:lang w:eastAsia="el-GR"/>
        </w:rP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pPr>
        <w:pStyle w:val="Normal"/>
        <w:spacing w:lineRule="auto" w:line="360" w:before="0" w:after="0"/>
        <w:ind w:left="720" w:hanging="0"/>
        <w:jc w:val="both"/>
        <w:rPr>
          <w:rFonts w:ascii="Book Antiqua" w:hAnsi="Book Antiqua" w:cs="Arial"/>
          <w:bCs/>
          <w:sz w:val="24"/>
          <w:szCs w:val="24"/>
          <w:lang w:eastAsia="el-GR"/>
        </w:rPr>
      </w:pPr>
      <w:r>
        <w:rPr>
          <w:rFonts w:cs="Arial" w:ascii="Book Antiqua" w:hAnsi="Book Antiqua"/>
          <w:bCs/>
          <w:sz w:val="24"/>
          <w:szCs w:val="24"/>
          <w:lang w:eastAsia="el-GR"/>
        </w:rPr>
        <w:t>β) Τους εκπροσώπους των Διαμεσολαβητών στην ειδική επιτροπή της παρ. 3 του άρθρου 149</w:t>
      </w:r>
      <w:r>
        <w:rPr>
          <w:rFonts w:cs="Arial" w:ascii="Book Antiqua" w:hAnsi="Book Antiqua"/>
          <w:b/>
          <w:bCs/>
          <w:sz w:val="24"/>
          <w:szCs w:val="24"/>
          <w:lang w:eastAsia="el-GR"/>
        </w:rPr>
        <w:t>.</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συνέρχεται κατ' ελάχιστο δύο (2) φορές το χρόνο ή όποτε κριθεί απαραίτητο ή ζητηθεί από το ένα τρίτο (1/3) των μελών του ή από τον Υπουργό Εσωτερικών. Στο Συμβούλιο δύναται να καλείται και να παρίσταται και ο Συνήγορος του Πολίτη.</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Συμβούλιο υποστηρίζεται διοικητικά από τη Διεύθυνση Οργάνωσης &amp; Λειτουργίας Τοπικής Αυτοδιοίκησης του Υπουργείου Εσωτερικών.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Ζ’</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ΣΧΕΣΕΙΣ ΤΟΥ ΔΗΜΟΤΙΚΟΥ &amp; ΤΟΥ ΠΕΡΙΦΕΡΕΙΑΚΟΥ ΔΙΑΜΕΣΟΛΑΒΗΤΗ ΜΕ ΑΛΛΑ ΟΡΓΑΝΑ ΚΑΙ ΦΟΡΕΙΣ ΔΙΑΜΕΣΟΛΑΒΗΣΗΣ ΚΑΙ ΕΛΕΓΧΟΥ</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169</w:t>
      </w:r>
    </w:p>
    <w:p>
      <w:pPr>
        <w:pStyle w:val="Normal"/>
        <w:spacing w:lineRule="auto" w:line="360" w:before="0" w:after="0"/>
        <w:jc w:val="center"/>
        <w:rPr>
          <w:rFonts w:ascii="Book Antiqua" w:hAnsi="Book Antiqua" w:cs="Arial"/>
          <w:bCs/>
          <w:sz w:val="24"/>
          <w:szCs w:val="24"/>
          <w:lang w:eastAsia="el-GR"/>
        </w:rPr>
      </w:pPr>
      <w:r>
        <w:rPr>
          <w:rFonts w:cs="Arial" w:ascii="Book Antiqua" w:hAnsi="Book Antiqua"/>
          <w:b/>
          <w:bCs/>
          <w:sz w:val="24"/>
          <w:szCs w:val="24"/>
          <w:lang w:eastAsia="el-GR"/>
        </w:rPr>
        <w:t>Γενικές αρχές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170</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Σχέσεις με το Συνήγορο του Πολίτη</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Διαμεσολαβητής υποχρεούται να κοινοποιεί την ετήσια έκθεσή του στον Συνήγορο του Πολίτη.</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Συμπαραστάτης δικαιούται υποβάλλει ερωτήματα και να ζητεί τις απόψεις του Συνηγόρου του Πολίτη για το χειρισμό υπόθεσης που εκκρεμεί ενώπιόν του, εφ’ όσον κρίνει αιτιολογημένα ότι αυτή έχει κεντρικό χαρακτήρα ή ευρύτερο ενδιαφέρον.</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Συνήγορος του Πολίτη μπορεί κατά την κρίση του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Να ζητεί τη συνδρομή του κατά τόπο αρμόδιου Διαμεσολαβητή για υποθέσεις που χειρίζεται ο ίδιος, για ενέργειες που απαιτούν εγγύτητα ή αμεσότητα.</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Να παρίσταται και να συμμετέχει στις συνεδριάσεις του Εθνικού Συμβουλίου Διαμεσολαβητών.</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Να επιλαμβάνεται ο ίδιος υποθέσεων που έχει ήδη χειριστεί ο Διαμεσολαβητής ή να τις παραπέμπει εκ νέου ενώπιόν του, εφόσον διαπιστώνει αστοχίες ή πλημμέλειες, κατόπιν αιτήματος του ενδιαφερόμενου πολίτη ή ΟΤΑ.</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δ) Να αναλαμβάνει επιμορφωτικού χαρακτήρα πρωτοβουλίες για τη διαρκή κατάρτιση των Δημοτικών και Περιφερειακών Διαμεσολαβητών.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171</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Τελικές – μεταβατικές διατάξεις Κεφαλαίου Η’</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Όπου στο Κεφάλαιο αυτό αναφέρεται ο νομός, για την περίπτωση της Περιφέρειας Αττικής νοείται η εκάστοτε Περιφερειακή Ενότητα.</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Το άρθρο 77 του ν. 3852/2010 καταργείται. Η θητεία των Συμπαραστατών του Δημότη και του Πολίτη και της Επιχείρησης εντός της αυτοδιοικητικής περιόδου 2014-2019, λογίζεται ως πρώτη θητεία, για τις ανάγκες εφαρμογής της παρ. 1 του άρθρου 146, ανεξαρτήτως αν υπήρξε και προηγούμενη θητεία τους προ του 2014.</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διατάξεις του Κεφαλαίου Η’ ισχύουν από την επόμενη αυτοδιοικητική περίοδο.</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Θ’</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ΡΥΘΜΙΣΕΙΣ ΓΙΑ ΤΗΝ ΕΝΙΣΧΥΣΗ ΤΗΣ ΑΝΑΠΤΥΞΙΑΚΗΣ ΔΡΑΣΗΣ ΚΑΙ ΤΗ ΒΕΛΤΙΩΣΗ ΤΗΣ ΟΙΚΟΝΟΜΙΚΗΣ ΛΕΙΤΟΥΡΓΙΑΣ ΤΩΝ ΟΤΑ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ΕΠΙΧΕΙΡΗΣΙΑΚΟΣ ΠΡΟΓΡΑΜΜΑΤΙΣΜΟΣ </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172</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pPr>
        <w:pStyle w:val="ListParagraph"/>
        <w:numPr>
          <w:ilvl w:val="0"/>
          <w:numId w:val="157"/>
        </w:numPr>
        <w:spacing w:lineRule="auto" w:line="360"/>
        <w:jc w:val="both"/>
        <w:rPr>
          <w:rFonts w:ascii="Book Antiqua" w:hAnsi="Book Antiqua"/>
          <w:sz w:val="24"/>
          <w:szCs w:val="24"/>
          <w:lang w:eastAsia="el-GR"/>
        </w:rPr>
      </w:pPr>
      <w:r>
        <w:rPr>
          <w:rFonts w:ascii="Book Antiqua" w:hAnsi="Book Antiqua"/>
          <w:sz w:val="24"/>
          <w:szCs w:val="24"/>
          <w:lang w:eastAsia="el-GR"/>
        </w:rPr>
        <w:t>Η παρ. 1 του άρθρου 266 του ν. 3852/2010 αντικαθίσταται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pPr>
        <w:pStyle w:val="Normal"/>
        <w:spacing w:lineRule="auto" w:line="360"/>
        <w:ind w:left="709" w:hanging="0"/>
        <w:jc w:val="both"/>
        <w:rPr>
          <w:rFonts w:ascii="Book Antiqua" w:hAnsi="Book Antiqua"/>
          <w:sz w:val="24"/>
          <w:szCs w:val="24"/>
        </w:rPr>
      </w:pPr>
      <w:r>
        <w:rPr>
          <w:rFonts w:ascii="Book Antiqua" w:hAnsi="Book Antiqua"/>
          <w:sz w:val="24"/>
          <w:szCs w:val="24"/>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δημοτικής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δημοτικής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τις προδιαγραφές ανά κατηγορία δήμων, σύμφωνα με το άρθρο 2</w:t>
      </w:r>
      <w:r>
        <w:rPr>
          <w:rFonts w:ascii="Book Antiqua" w:hAnsi="Book Antiqua"/>
          <w:sz w:val="24"/>
          <w:szCs w:val="24"/>
          <w:vertAlign w:val="superscript"/>
        </w:rPr>
        <w:t>Α</w:t>
      </w:r>
      <w:r>
        <w:rPr>
          <w:rFonts w:ascii="Book Antiqua" w:hAnsi="Book Antiqua"/>
          <w:sz w:val="24"/>
          <w:szCs w:val="24"/>
        </w:rPr>
        <w:t>,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p>
    <w:p>
      <w:pPr>
        <w:pStyle w:val="ListParagraph"/>
        <w:numPr>
          <w:ilvl w:val="0"/>
          <w:numId w:val="157"/>
        </w:numPr>
        <w:spacing w:lineRule="auto" w:line="360"/>
        <w:jc w:val="both"/>
        <w:rPr>
          <w:rFonts w:ascii="Book Antiqua" w:hAnsi="Book Antiqua"/>
          <w:sz w:val="24"/>
          <w:szCs w:val="24"/>
        </w:rPr>
      </w:pPr>
      <w:r>
        <w:rPr>
          <w:rFonts w:ascii="Book Antiqua" w:hAnsi="Book Antiqua"/>
          <w:sz w:val="24"/>
          <w:szCs w:val="24"/>
          <w:lang w:eastAsia="el-GR"/>
        </w:rPr>
        <w:t>Στο άρθρο 266 του ν. 3852/2010 προστίθεται παρ. 1Α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«1Α. Σκοπός των Τετραετών Επιχειρησιακών Προγραμμάτων των Ο.Τ.Α. α΄ βαθμού  είναι η παρακολούθηση υλοποίησης του Χωρικού και Αναπτυξιακού σχεδιασμού στο τοπικό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διοικητικών και γεωγραφικών υποενοτήτων του Δήμου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δήμου.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173</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pPr>
        <w:pStyle w:val="ListParagraph"/>
        <w:numPr>
          <w:ilvl w:val="0"/>
          <w:numId w:val="156"/>
        </w:numPr>
        <w:spacing w:lineRule="auto" w:line="360"/>
        <w:jc w:val="both"/>
        <w:rPr>
          <w:rFonts w:ascii="Book Antiqua" w:hAnsi="Book Antiqua"/>
          <w:sz w:val="24"/>
          <w:szCs w:val="24"/>
          <w:lang w:eastAsia="el-GR"/>
        </w:rPr>
      </w:pPr>
      <w:r>
        <w:rPr>
          <w:rFonts w:ascii="Book Antiqua" w:hAnsi="Book Antiqua"/>
          <w:sz w:val="24"/>
          <w:szCs w:val="24"/>
          <w:lang w:eastAsia="el-GR"/>
        </w:rPr>
        <w:t>Η παρ. 1 του άρθρου 268 του ν. 3852/2010 αντικαθίσταται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«1. Για το μεσοπρόθεσμο προγραμματισμό των περιφερειών,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pPr>
        <w:pStyle w:val="Normal"/>
        <w:spacing w:lineRule="auto" w:line="360"/>
        <w:ind w:left="709" w:hanging="0"/>
        <w:jc w:val="both"/>
        <w:rPr>
          <w:rFonts w:ascii="Book Antiqua" w:hAnsi="Book Antiqua"/>
          <w:sz w:val="24"/>
          <w:szCs w:val="24"/>
        </w:rPr>
      </w:pPr>
      <w:r>
        <w:rPr>
          <w:rFonts w:ascii="Book Antiqua" w:hAnsi="Book Antiqua"/>
          <w:sz w:val="24"/>
          <w:szCs w:val="24"/>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περιφερειακής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περιφερειακής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περιφερειακής περιόδου οριστικοποιείται με την κατάρτιση και έγκριση του Τετραετούς Επιχειρησιακού Προγράμματος.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περιφερειών, τα διαθέσιμα χρηματοδοτικά εργαλεία και κάθε άλλο ειδικότερο ζήτημα, για την εφαρμογή της παραγράφου αυτής.</w:t>
      </w:r>
    </w:p>
    <w:p>
      <w:pPr>
        <w:pStyle w:val="ListParagraph"/>
        <w:numPr>
          <w:ilvl w:val="0"/>
          <w:numId w:val="156"/>
        </w:numPr>
        <w:spacing w:lineRule="auto" w:line="360"/>
        <w:jc w:val="both"/>
        <w:rPr>
          <w:rFonts w:ascii="Book Antiqua" w:hAnsi="Book Antiqua"/>
          <w:sz w:val="24"/>
          <w:szCs w:val="24"/>
        </w:rPr>
      </w:pPr>
      <w:r>
        <w:rPr>
          <w:rFonts w:ascii="Book Antiqua" w:hAnsi="Book Antiqua"/>
          <w:sz w:val="24"/>
          <w:szCs w:val="24"/>
        </w:rPr>
        <w:t>Η παρ. 2 του άρθρου 268 αντικαθίσταται ως εξής:</w:t>
      </w:r>
    </w:p>
    <w:p>
      <w:pPr>
        <w:pStyle w:val="ListParagraph"/>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«1Α. Σκοπός των Τετραετών Επιχειρησιακών Προγραμμάτων των περιφερειών είναι η παρακολούθηση υλοποίησης του Χωρικού και Αναπτυξιακού σχεδιασμού σε περιφερειακό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174</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t>Στο ν. 3852/2010 προστίθεται άρθρο 266 Α ως εξής:</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sz w:val="24"/>
          <w:szCs w:val="24"/>
          <w:lang w:eastAsia="el-GR"/>
        </w:rPr>
      </w:pPr>
      <w:bookmarkStart w:id="46" w:name="_Hlk512559015"/>
      <w:bookmarkEnd w:id="46"/>
      <w:r>
        <w:rPr>
          <w:rFonts w:ascii="Book Antiqua" w:hAnsi="Book Antiqua"/>
          <w:sz w:val="24"/>
          <w:szCs w:val="24"/>
          <w:lang w:eastAsia="el-GR"/>
        </w:rPr>
        <w:t>«Επιτροπή Παρακολούθησης &amp; Υλοποίησης Χωρικού και Αναπτυξιακού Σχεδιασμού Τοπικού και Περιφερειακού Επιπέδου</w:t>
      </w:r>
    </w:p>
    <w:p>
      <w:pPr>
        <w:pStyle w:val="Normal"/>
        <w:spacing w:lineRule="auto" w:line="360"/>
        <w:jc w:val="both"/>
        <w:rPr>
          <w:rFonts w:ascii="Book Antiqua" w:hAnsi="Book Antiqua"/>
          <w:sz w:val="24"/>
          <w:szCs w:val="24"/>
        </w:rPr>
      </w:pPr>
      <w:r>
        <w:rPr>
          <w:rFonts w:ascii="Book Antiqua" w:hAnsi="Book Antiqua"/>
          <w:sz w:val="24"/>
          <w:szCs w:val="24"/>
        </w:rPr>
        <w:t xml:space="preserve">Με κοινή απόφαση των Υπουργών Εσωτερικών, Περιβάλλοντος και Ενέργειας και Οικονομίας και Ανάπτυξης, συγκροτείται στο Υπουργείο Εσωτερικών, Επιτροπή Παρακολούθησης &amp; Υλοποίησης Χωρικού και Αναπτυξιακού Σχεδιασμού Περιφερειακού και Τοπικού Επιπέδου. Η Επιτροπή απαρτίζεται από εκπροσώπους των Υπουργείων Εσωτερικών, Περιβάλλοντος και Ενέργειας και Οικονομίας και Ανάπτυξης, της Κεντρικής Ένωσης Δήμων Ελλάδας (ΚΕΔΕ) και της Ένωσης Περιφερειών Ελλάδας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 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σκοπό τη διαμόρφωση συνεκτικών πολιτικών χωρικού και αναπτυξιακού σχεδιασμού σε επίπεδο εθνικό. Με την απόφαση του πρώτου εδαφίου, ρυθμίζεται ο τρόπος λειτουργίας της Επιτροπής, 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  </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ind w:left="720" w:hanging="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ΤΜΗΜΑ Β’</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pPr>
        <w:pStyle w:val="Normal"/>
        <w:spacing w:lineRule="auto" w:line="360"/>
        <w:jc w:val="center"/>
        <w:rPr>
          <w:rFonts w:ascii="Book Antiqua" w:hAnsi="Book Antiqua"/>
          <w:b/>
          <w:b/>
          <w:sz w:val="24"/>
          <w:szCs w:val="24"/>
          <w:lang w:eastAsia="el-GR"/>
        </w:rPr>
      </w:pPr>
      <w:r>
        <w:rPr>
          <w:rFonts w:eastAsia="Times New Roman" w:cs="Tahoma" w:ascii="Book Antiqua" w:hAnsi="Book Antiqua"/>
          <w:b/>
          <w:sz w:val="24"/>
          <w:szCs w:val="24"/>
          <w:lang w:eastAsia="el-GR"/>
        </w:rPr>
        <w:t>ΥΠΗΡΕΣΙΕΣ ΔΟΜΗΣΗΣ ΔΗΜΩΝ</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175</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Υποστήριξη των Δήμων από τη Μ.Ο.Δ Α.Ε για τη μελέτη και εκτέλεση έργων</w:t>
      </w:r>
    </w:p>
    <w:p>
      <w:pPr>
        <w:pStyle w:val="Normal"/>
        <w:spacing w:lineRule="auto" w:line="360"/>
        <w:rPr>
          <w:rFonts w:ascii="Book Antiqua" w:hAnsi="Book Antiqua"/>
          <w:sz w:val="24"/>
          <w:szCs w:val="24"/>
          <w:lang w:eastAsia="el-GR"/>
        </w:rPr>
      </w:pPr>
      <w:r>
        <w:rPr>
          <w:rFonts w:ascii="Book Antiqua" w:hAnsi="Book Antiqua"/>
          <w:sz w:val="24"/>
          <w:szCs w:val="24"/>
          <w:lang w:eastAsia="el-GR"/>
        </w:rPr>
        <w:t>Στο ν. 3852/2010 προστίθεται άρθρο 97Β ως εξής:</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«Άρθρο 97Β</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Υποστήριξη των Δήμων από τη Μ.Ο.Δ Α.Ε για τη μελέτη και εκτέλεση έργων</w:t>
      </w:r>
    </w:p>
    <w:p>
      <w:pPr>
        <w:pStyle w:val="Normal"/>
        <w:spacing w:lineRule="auto" w:line="360"/>
        <w:jc w:val="center"/>
        <w:rPr>
          <w:rFonts w:ascii="Book Antiqua" w:hAnsi="Book Antiqua"/>
          <w:sz w:val="24"/>
          <w:szCs w:val="24"/>
          <w:lang w:eastAsia="el-GR"/>
        </w:rPr>
      </w:pPr>
      <w:bookmarkStart w:id="47" w:name="_Hlk512559113"/>
      <w:bookmarkStart w:id="48" w:name="_Hlk512559113"/>
      <w:bookmarkEnd w:id="48"/>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t>Σε Δήμους με μη επαρκή τεχνική υπηρεσία για τη μελέτη και εκτέλεση έργων, σύμφωνα με την κείμενη νομοθεσία, η ανώνυμη εταιρία μη κερδοσκοπικού χαρακτήρα με την επωνυμία «Μονάδα Οργάνωσης της Διαχείρισης Αναπτυξιακών Προγραμμάτων (Μ.Ο.Δ. ΑΕ)» δύναται να αναλαμβάνει ως αναθέτουσα αρχή τη μελέτη και εκτέλεση συγχρηματοδοτούμενων ή μη έργων. Με απόφαση του οικείου Δημοτικού Συμβουλίου υποβάλλεται το σχετικό αίτημα στη Μ.Ο.Δ Α.Ε, η οποία με απόφαση του Διοικητικού της Συμβουλίου αναλαμβάνει την άσκηση της αρμοδιότητας της αναθέτουσας αρχής για τη μελέτη ή το έργο. Με κοινή απόφαση των Υπουργών Οικονομίας και Ανάπτυξης και Εσωτερικών καθορίζεται η διαδικασία εφαρμογής των προηγούμενων εδαφίων, τα κριτήρια ιεράρχησης των σχετικών αιτημάτων ως προς τη σειρά ικανοποίησής τους και κάθε άλλη σχετική λεπτομέρεια».</w:t>
      </w:r>
    </w:p>
    <w:p>
      <w:pPr>
        <w:pStyle w:val="Normal"/>
        <w:spacing w:lineRule="auto" w:line="360"/>
        <w:jc w:val="both"/>
        <w:rPr>
          <w:rFonts w:ascii="Book Antiqua" w:hAnsi="Book Antiqua" w:cs="Tahoma"/>
          <w:b/>
          <w:b/>
          <w:sz w:val="24"/>
          <w:szCs w:val="24"/>
          <w:lang w:eastAsia="el-GR"/>
        </w:rPr>
      </w:pPr>
      <w:r>
        <w:rPr>
          <w:rFonts w:cs="Tahoma" w:ascii="Book Antiqua" w:hAnsi="Book Antiqua"/>
          <w:b/>
          <w:sz w:val="24"/>
          <w:szCs w:val="24"/>
          <w:lang w:eastAsia="el-GR"/>
        </w:rPr>
        <w:t xml:space="preserve">  </w:t>
      </w:r>
    </w:p>
    <w:p>
      <w:pPr>
        <w:pStyle w:val="Normal"/>
        <w:spacing w:lineRule="auto" w:line="360"/>
        <w:jc w:val="both"/>
        <w:rPr>
          <w:rFonts w:ascii="Book Antiqua" w:hAnsi="Book Antiqua" w:cs="Tahoma"/>
          <w:b/>
          <w:b/>
          <w:sz w:val="24"/>
          <w:szCs w:val="24"/>
          <w:lang w:eastAsia="el-GR"/>
        </w:rPr>
      </w:pPr>
      <w:r>
        <w:rPr>
          <w:rFonts w:cs="Tahoma" w:ascii="Book Antiqua" w:hAnsi="Book Antiqua"/>
          <w:b/>
          <w:sz w:val="24"/>
          <w:szCs w:val="24"/>
          <w:lang w:eastAsia="el-GR"/>
        </w:rPr>
      </w:r>
    </w:p>
    <w:p>
      <w:pPr>
        <w:pStyle w:val="Normal"/>
        <w:spacing w:lineRule="auto" w:line="360"/>
        <w:jc w:val="center"/>
        <w:rPr>
          <w:rFonts w:ascii="Book Antiqua" w:hAnsi="Book Antiqua" w:cs="Tahoma"/>
          <w:b/>
          <w:b/>
          <w:sz w:val="24"/>
          <w:szCs w:val="24"/>
          <w:lang w:eastAsia="el-GR"/>
        </w:rPr>
      </w:pPr>
      <w:r>
        <w:rPr>
          <w:rFonts w:cs="Tahoma" w:ascii="Book Antiqua" w:hAnsi="Book Antiqua"/>
          <w:b/>
          <w:sz w:val="24"/>
          <w:szCs w:val="24"/>
          <w:lang w:eastAsia="el-GR"/>
        </w:rPr>
        <w:t>Άρθρο 176</w:t>
      </w:r>
    </w:p>
    <w:p>
      <w:pPr>
        <w:pStyle w:val="Normal"/>
        <w:spacing w:lineRule="auto" w:line="360"/>
        <w:jc w:val="center"/>
        <w:rPr>
          <w:rFonts w:ascii="Book Antiqua" w:hAnsi="Book Antiqua" w:cs="Tahoma"/>
          <w:b/>
          <w:b/>
          <w:sz w:val="24"/>
          <w:szCs w:val="24"/>
          <w:lang w:eastAsia="el-GR"/>
        </w:rPr>
      </w:pPr>
      <w:r>
        <w:rPr>
          <w:rFonts w:cs="Tahoma" w:ascii="Book Antiqua" w:hAnsi="Book Antiqua"/>
          <w:b/>
          <w:sz w:val="24"/>
          <w:szCs w:val="24"/>
          <w:lang w:eastAsia="el-GR"/>
        </w:rPr>
        <w:t>Προγραμματικές συμβάσεις - Τροποποίηση του άρθρου 100 του ν. 3852/2010</w:t>
      </w:r>
    </w:p>
    <w:p>
      <w:pPr>
        <w:pStyle w:val="22"/>
        <w:numPr>
          <w:ilvl w:val="0"/>
          <w:numId w:val="104"/>
        </w:numPr>
        <w:spacing w:lineRule="auto" w:line="360"/>
        <w:jc w:val="both"/>
        <w:rPr>
          <w:rFonts w:ascii="Book Antiqua" w:hAnsi="Book Antiqua" w:cs="Tahoma"/>
          <w:sz w:val="24"/>
          <w:szCs w:val="24"/>
          <w:lang w:eastAsia="el-GR"/>
        </w:rPr>
      </w:pPr>
      <w:r>
        <w:rPr>
          <w:rFonts w:cs="Tahoma" w:ascii="Book Antiqua" w:hAnsi="Book Antiqua"/>
          <w:sz w:val="24"/>
          <w:szCs w:val="24"/>
          <w:lang w:eastAsia="el-GR"/>
        </w:rPr>
        <w:t>Η περ. α’ της παρ. 1 του άρθρου 100 του ν. 3852/2010 αντικαθίσταται ως εξής:</w:t>
      </w:r>
    </w:p>
    <w:p>
      <w:pPr>
        <w:pStyle w:val="Normal"/>
        <w:spacing w:lineRule="auto" w:line="360"/>
        <w:ind w:left="720" w:hanging="0"/>
        <w:jc w:val="both"/>
        <w:rPr>
          <w:rFonts w:ascii="Book Antiqua" w:hAnsi="Book Antiqua"/>
          <w:color w:val="FF0000"/>
          <w:sz w:val="24"/>
          <w:szCs w:val="24"/>
          <w:lang w:eastAsia="el-GR"/>
        </w:rPr>
      </w:pPr>
      <w:r>
        <w:rPr>
          <w:rFonts w:cs="Tahoma" w:ascii="Book Antiqua" w:hAnsi="Book Antiqua"/>
          <w:sz w:val="24"/>
          <w:szCs w:val="24"/>
          <w:lang w:eastAsia="el-GR"/>
        </w:rPr>
        <w:t>«Για τη μελέτη και εκτέλεση έργων και προγραμμάτων ανάπτυξης</w:t>
      </w:r>
      <w:r>
        <w:rPr>
          <w:rFonts w:cs="Tahoma" w:ascii="Book Antiqua" w:hAnsi="Book Antiqua"/>
          <w:color w:val="FF0000"/>
          <w:sz w:val="24"/>
          <w:szCs w:val="24"/>
          <w:lang w:eastAsia="el-GR"/>
        </w:rPr>
        <w:t xml:space="preserve"> </w:t>
      </w:r>
      <w:r>
        <w:rPr>
          <w:rFonts w:cs="Tahoma" w:ascii="Book Antiqua" w:hAnsi="Book Antiqua"/>
          <w:sz w:val="24"/>
          <w:szCs w:val="24"/>
          <w:lang w:eastAsia="el-GR"/>
        </w:rPr>
        <w:t xml:space="preserve">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w:t>
      </w:r>
      <w:r>
        <w:rPr>
          <w:rFonts w:ascii="Book Antiqua" w:hAnsi="Book Antiqua"/>
          <w:color w:val="000000"/>
          <w:sz w:val="24"/>
          <w:szCs w:val="24"/>
          <w:lang w:eastAsia="el-GR"/>
        </w:rPr>
        <w:t xml:space="preserve">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w:t>
      </w:r>
      <w:r>
        <w:rPr>
          <w:rFonts w:ascii="Book Antiqua" w:hAnsi="Book Antiqua"/>
          <w:color w:val="FF0000"/>
          <w:sz w:val="24"/>
          <w:szCs w:val="24"/>
          <w:lang w:eastAsia="el-GR"/>
        </w:rPr>
        <w:t xml:space="preserve">οι </w:t>
      </w:r>
      <w:r>
        <w:rPr>
          <w:rFonts w:ascii="Book Antiqua" w:hAnsi="Book Antiqua"/>
          <w:sz w:val="24"/>
          <w:szCs w:val="24"/>
          <w:lang w:eastAsia="el-GR"/>
        </w:rPr>
        <w:t>αναπτυξιακές Α.Ε. Ο.Τ.Α., μπορούν να συνάπτουν προγραμματικές συμβάσεις με το Δημόσιο ή με την Εγνατία Οδό Α.Ε. ή με τη Μ.Ο.Δ. Α.Ε. ή μεταξύ τους ή και με νομικά πρόσωπα ιδιωτικού ή δημοσίου δικαίου ή αναθέτουσες αρχές των παρ. 1 , 2, 3, 4 και 5 του άρθρου 12 του Ν.4412/2016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προσυμβατικό έλεγχο νομιμότητας του Ελεγκτικού Συνεδρίου σύμφωνα με τη σχετική νομοθεσία. Στην περίπτωση που ένας εκ των συμβαλλομένων είναι το Δημόσιο ή εποπτευόμενος φορέας του, η προγραμματική σύμβαση δεν υπόκειται στον υποχρεωτικό έλεγχο νομιμότητας του άρθρου 225».</w:t>
      </w:r>
    </w:p>
    <w:p>
      <w:pPr>
        <w:pStyle w:val="22"/>
        <w:numPr>
          <w:ilvl w:val="0"/>
          <w:numId w:val="104"/>
        </w:numPr>
        <w:spacing w:lineRule="auto" w:line="360"/>
        <w:jc w:val="both"/>
        <w:rPr>
          <w:rFonts w:ascii="Book Antiqua" w:hAnsi="Book Antiqua"/>
          <w:color w:val="FF0000"/>
          <w:sz w:val="24"/>
          <w:szCs w:val="24"/>
          <w:lang w:eastAsia="el-GR"/>
        </w:rPr>
      </w:pPr>
      <w:r>
        <w:rPr>
          <w:rFonts w:ascii="Book Antiqua" w:hAnsi="Book Antiqua"/>
          <w:sz w:val="24"/>
          <w:szCs w:val="24"/>
          <w:lang w:eastAsia="el-GR"/>
        </w:rPr>
        <w:t>Στην παράγραφο 1 του άρθρου 100 προστίθεται περίπτωση ε. ως εξής:</w:t>
      </w:r>
    </w:p>
    <w:p>
      <w:pPr>
        <w:pStyle w:val="Normal"/>
        <w:spacing w:lineRule="auto" w:line="360" w:before="120" w:after="0"/>
        <w:ind w:left="720" w:hanging="0"/>
        <w:jc w:val="both"/>
        <w:rPr>
          <w:rFonts w:ascii="Book Antiqua" w:hAnsi="Book Antiqua"/>
          <w:sz w:val="24"/>
          <w:szCs w:val="24"/>
        </w:rPr>
      </w:pPr>
      <w:r>
        <w:rPr>
          <w:rFonts w:ascii="Book Antiqua" w:hAnsi="Book Antiqua"/>
          <w:sz w:val="24"/>
          <w:szCs w:val="24"/>
        </w:rPr>
        <w:t>«ε. Η Ε.Ε.Τ.Α.Α. Α.Ε. δύναται με προγραμματική σύμβαση που συνάπτεται μεταξύ αυτής και δήμου, ο οποίος δεν έχει τεχνική επάρκεια, να αναλαμβάνει τη διεξαγωγή της διαδικασίας σύναψης, εποπτείας και επίβλεψης δημοσίων συμβάσεων μελετών του δήμου αυτού. Ως προς το περιεχόμενο της προγραμματικής σύμβασης, τις εξ αυτής ευθύνες, τους εκπροσώπους των μερών και τα αποφαινόμενα όργανα, ισχύουν οι διατάξεις των παρ. 2 και 3 του άρθρου 44 του ν.4412/2016 (Α’ 147)».</w:t>
      </w:r>
    </w:p>
    <w:p>
      <w:pPr>
        <w:pStyle w:val="22"/>
        <w:spacing w:lineRule="auto" w:line="360" w:before="120" w:after="0"/>
        <w:ind w:left="1440" w:hanging="0"/>
        <w:jc w:val="both"/>
        <w:rPr>
          <w:rFonts w:ascii="Book Antiqua" w:hAnsi="Book Antiqua"/>
          <w:sz w:val="24"/>
          <w:szCs w:val="24"/>
        </w:rPr>
      </w:pPr>
      <w:r>
        <w:rPr>
          <w:rFonts w:ascii="Book Antiqua" w:hAnsi="Book Antiqua"/>
          <w:sz w:val="24"/>
          <w:szCs w:val="24"/>
        </w:rPr>
      </w:r>
    </w:p>
    <w:p>
      <w:pPr>
        <w:pStyle w:val="Normal"/>
        <w:numPr>
          <w:ilvl w:val="0"/>
          <w:numId w:val="104"/>
        </w:numPr>
        <w:spacing w:lineRule="auto" w:line="360"/>
        <w:jc w:val="both"/>
        <w:rPr>
          <w:rFonts w:ascii="Book Antiqua" w:hAnsi="Book Antiqua"/>
          <w:sz w:val="24"/>
          <w:szCs w:val="24"/>
          <w:lang w:eastAsia="el-GR"/>
        </w:rPr>
      </w:pPr>
      <w:r>
        <w:rPr>
          <w:rFonts w:ascii="Book Antiqua" w:hAnsi="Book Antiqua"/>
          <w:sz w:val="24"/>
          <w:szCs w:val="24"/>
          <w:lang w:eastAsia="el-GR"/>
        </w:rPr>
        <w:t>Η περ. α’ της παρ. 2 του άρθρου 100 του ν. 3852/2010 αντικαθίσταται ως εξής:</w:t>
      </w:r>
    </w:p>
    <w:p>
      <w:pPr>
        <w:pStyle w:val="Normal"/>
        <w:spacing w:lineRule="auto" w:line="360"/>
        <w:ind w:left="720" w:hanging="0"/>
        <w:jc w:val="both"/>
        <w:rPr>
          <w:rFonts w:ascii="Book Antiqua" w:hAnsi="Book Antiqua"/>
          <w:color w:val="000000"/>
          <w:sz w:val="24"/>
          <w:szCs w:val="24"/>
        </w:rPr>
      </w:pPr>
      <w:r>
        <w:rPr>
          <w:rFonts w:ascii="Book Antiqua" w:hAnsi="Book Antiqua"/>
          <w:color w:val="000000"/>
          <w:sz w:val="24"/>
          <w:szCs w:val="24"/>
        </w:rPr>
        <w:t xml:space="preserve">«2.α.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w:t>
      </w:r>
      <w:r>
        <w:rPr>
          <w:rFonts w:ascii="Book Antiqua" w:hAnsi="Book Antiqua"/>
          <w:sz w:val="24"/>
          <w:szCs w:val="24"/>
        </w:rPr>
        <w:t xml:space="preserve">καθώς και ο τρόπος κάλυψης των αναγκαίων για την εκπλήρωση της προγραμματικής σύμβασης δαπανών και οι λεπτομέρειες καταβολής τους. </w:t>
      </w:r>
      <w:r>
        <w:rPr>
          <w:rFonts w:cs="Tahoma" w:ascii="Book Antiqua" w:hAnsi="Book Antiqua"/>
          <w:sz w:val="24"/>
          <w:szCs w:val="24"/>
        </w:rPr>
        <w:t xml:space="preserve">Για την εκπλήρωση του σκοπού της προγραμματικής σύμβασης, ο κάθε συμβαλλόμενος αναλαμβάνει συγκεκριμένο αντικείμενο με συγκεκριμένες υποχρεώσεις. Η συμμετοχή του κάθε συμβαλλόμενου μέρους στην Προγραμματική Σύμβαση μπορεί κατ' ελάχιστον να αφορά μόνο τη συμμετοχή του στο Όργανο Παρακολούθησης της εφαρμογής της (Κοινή Επιτροπή Παρακολούθησης).  Το Όργανο </w:t>
      </w:r>
      <w:r>
        <w:rPr>
          <w:rFonts w:ascii="Book Antiqua" w:hAnsi="Book Antiqua"/>
          <w:color w:val="000000"/>
          <w:sz w:val="24"/>
          <w:szCs w:val="24"/>
        </w:rPr>
        <w:t>παρακολούθησης της εφαρμογής της θα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pPr>
        <w:pStyle w:val="Normal"/>
        <w:spacing w:lineRule="auto" w:line="360"/>
        <w:jc w:val="both"/>
        <w:rPr>
          <w:rFonts w:ascii="Book Antiqua" w:hAnsi="Book Antiqua"/>
          <w:color w:val="000000"/>
          <w:sz w:val="24"/>
          <w:szCs w:val="24"/>
        </w:rPr>
      </w:pPr>
      <w:r>
        <w:rPr>
          <w:rFonts w:ascii="Book Antiqua" w:hAnsi="Book Antiqua"/>
          <w:color w:val="000000"/>
          <w:sz w:val="24"/>
          <w:szCs w:val="24"/>
        </w:rPr>
      </w:r>
    </w:p>
    <w:p>
      <w:pPr>
        <w:pStyle w:val="Normal"/>
        <w:spacing w:lineRule="auto" w:line="360"/>
        <w:jc w:val="both"/>
        <w:rPr>
          <w:rFonts w:ascii="Book Antiqua" w:hAnsi="Book Antiqua"/>
          <w:color w:val="000000"/>
          <w:sz w:val="24"/>
          <w:szCs w:val="24"/>
        </w:rPr>
      </w:pPr>
      <w:r>
        <w:rPr>
          <w:rFonts w:ascii="Book Antiqua" w:hAnsi="Book Antiqua"/>
          <w:color w:val="000000"/>
          <w:sz w:val="24"/>
          <w:szCs w:val="24"/>
        </w:rPr>
      </w:r>
    </w:p>
    <w:p>
      <w:pPr>
        <w:pStyle w:val="Normal"/>
        <w:spacing w:lineRule="auto" w:line="360"/>
        <w:ind w:left="3600" w:hanging="0"/>
        <w:rPr>
          <w:rFonts w:ascii="Book Antiqua" w:hAnsi="Book Antiqua"/>
          <w:b/>
          <w:b/>
          <w:sz w:val="24"/>
          <w:szCs w:val="24"/>
          <w:lang w:eastAsia="el-GR"/>
        </w:rPr>
      </w:pPr>
      <w:r>
        <w:rPr>
          <w:rFonts w:ascii="Book Antiqua" w:hAnsi="Book Antiqua"/>
          <w:b/>
          <w:sz w:val="24"/>
          <w:szCs w:val="24"/>
          <w:lang w:eastAsia="el-GR"/>
        </w:rPr>
        <w:t>Άρθρο 177</w:t>
      </w:r>
    </w:p>
    <w:p>
      <w:pPr>
        <w:pStyle w:val="Normal"/>
        <w:spacing w:lineRule="auto" w:line="360"/>
        <w:ind w:left="567" w:hanging="0"/>
        <w:jc w:val="center"/>
        <w:rPr>
          <w:rFonts w:ascii="Book Antiqua" w:hAnsi="Book Antiqua"/>
          <w:b/>
          <w:b/>
          <w:sz w:val="24"/>
          <w:szCs w:val="24"/>
          <w:lang w:eastAsia="el-GR"/>
        </w:rPr>
      </w:pPr>
      <w:r>
        <w:rPr>
          <w:rFonts w:ascii="Book Antiqua" w:hAnsi="Book Antiqua"/>
          <w:b/>
          <w:sz w:val="24"/>
          <w:szCs w:val="24"/>
          <w:lang w:eastAsia="el-GR"/>
        </w:rPr>
        <w:t>Διαδημοτικός σύνδεσμος τεχνικής υπηρεσίας</w:t>
      </w:r>
    </w:p>
    <w:p>
      <w:pPr>
        <w:pStyle w:val="Normal"/>
        <w:spacing w:lineRule="auto" w:line="360"/>
        <w:rPr>
          <w:rFonts w:ascii="Book Antiqua" w:hAnsi="Book Antiqua"/>
          <w:sz w:val="24"/>
          <w:szCs w:val="24"/>
          <w:lang w:eastAsia="el-GR"/>
        </w:rPr>
      </w:pPr>
      <w:r>
        <w:rPr>
          <w:rFonts w:ascii="Book Antiqua" w:hAnsi="Book Antiqua"/>
          <w:sz w:val="24"/>
          <w:szCs w:val="24"/>
          <w:lang w:eastAsia="el-GR"/>
        </w:rPr>
        <w:t>Στο νόμο 3852/2010 προστίθεται άρθρο 104Α ως εξής:</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«Άρθρο 104Α</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Σύσταση διαδημοτικού συνδέσμου τεχνικής υπηρεσίας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Δύο ή περισσότεροι δήμοι του ίδιου νομού, καθώς και όμορων νομών της ίδιας Περιφέρειας, μπορούν να συστήσουν, με απόφαση των δημοτικών τους συμβουλίων, σύνδεσμο με ειδικό σκοπό τη μελέτη και εκτέλεση των τεχνικών τους έργων. Οι σύνδεσμοι αυτοί αποτελούν νομικά πρόσωπα δημοσίου δικαίου και η τεχνική τους υπηρεσία αποτελεί την κοινή τεχνική υπηρεσία των συμμετεχόντων σε αυτούς Δήμων.</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εγκρίνεται ο Οργανισμός Εσωτερικής Υπηρεσίας του συνδέσμου, ο οποίος περιλαμβάνει κατ’ ελάχιστο μία Διεύθυνση Τεχνικής Υπηρεσίας με ένα ή περισσότερα τμήματα και ένα τμήμα Διοικητικών και Οικονομικών Υπηρεσιών.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συμμετεχόντων Δήμων,  καθώς και τις εκκρεμείς υποθέσεις των υπηρεσιών αυτών.</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 αρμοδίου για διορισμό οργάνου του συνδέσμου, κατόπιν γνώμης του οικείου Υπηρεσιακού Συμβουλίου, στην αντίστοιχη οργανική μονάδα του συνδέσμου. Κατόπιν υποβολής αίτησης είναι δυνατή η μετάταξη ή η απόσπαση, για χρονικό διάστημα δύο (2) ετών με δυνατότητα ανανέωσης για δύο (2) επιπλέον έτη, κατά παρέκκλιση κάθε γενικής ή ειδικής διάταξης, οποιουδήποτε υπαλλήλου συνεργαζόμενου Δήμου, εφόσον κατέχει τα απαιτούμενα από τον Οργανισμό Εσωτερικής Υπηρεσίας του συνδέσμου προσόντα, σε κενή οργανική  θέση στο σύνδεσμο.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Το προσωπικό των πρώην Τεχνικών Υπηρεσιών Δήμων και Κοινοτήτων (Τ.Υ.Δ.Κ.), το οποίο έχει μεταφερθεί σύμφωνα με το άρθρο 280 περ. </w:t>
      </w:r>
      <w:r>
        <w:rPr>
          <w:rFonts w:ascii="Book Antiqua" w:hAnsi="Book Antiqua"/>
          <w:sz w:val="24"/>
          <w:szCs w:val="24"/>
          <w:lang w:val="en-US" w:eastAsia="el-GR"/>
        </w:rPr>
        <w:t>VII</w:t>
      </w:r>
      <w:r>
        <w:rPr>
          <w:rFonts w:ascii="Book Antiqua" w:hAnsi="Book Antiqua"/>
          <w:sz w:val="24"/>
          <w:szCs w:val="24"/>
          <w:lang w:eastAsia="el-GR"/>
        </w:rPr>
        <w:t xml:space="preserve"> στον οικείο Δήμο της έδρας του αντίστοιχου νομού ή στην περιφέρεια Νοτίου Αιγαίου, μπορεί, με απόφαση του αρμοδίου προς διορισμό οργάνου του συνδέσμου, να μετατάσσεται, κατόπιν υποβολής αίτησης, σε κενή οργανική θέση του συνδέσμου, κατά παρέκκλιση κάθε γενικής ή ειδικής διάταξης.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βάσει της κείμενης νομοθεσίας ενόψει  των ειδικών συνθηκών κάθε περίπτωσης και η κατά το δυνατόν πληρέστερη εκπλήρωση του σκοπού του συνδέσμου.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Σε δήμους που συστήνουν σύνδεσμο, σύμφωνα με τις προηγούμενες παραγράφους, η άσκηση της αρμοδιότητας της τεχνικής τους υπηρεσίας ασκείται από την τεχνική υπηρεσία του συνδέσμου. Τις λοιπές αρμοδιότητες προϊσταμένης και αναθέτουσας αρχής αναλαμβάνει ο δήμος που είναι κύριος του έργου.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 xml:space="preserve">Η υπηρεσιακή κατάσταση καθώς και τα  εργασιακά και ασφαλιστικά δικαιώματα των υπαλλήλων που μετατάσσονται ή αποσπώνται στο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τη μετάταξη ή την απόσπαση. Ο χρόνος υπηρεσίας στο σύνδεσμο λογίζεται ως χρόνος πραγματικής υπηρεσίας για όλες τις νόμιμες συνέπειες. </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Κατά τα λοιπά εφαρμόζονται οι διατάξεις των άρθρων 245 έως 250 του νόμου 3463/2006.</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178</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Υπηρεσία Δόμησης</w:t>
      </w:r>
    </w:p>
    <w:p>
      <w:pPr>
        <w:pStyle w:val="Normal"/>
        <w:spacing w:lineRule="auto" w:line="360"/>
        <w:rPr>
          <w:rFonts w:ascii="Book Antiqua" w:hAnsi="Book Antiqua"/>
          <w:b/>
          <w:b/>
          <w:sz w:val="24"/>
          <w:szCs w:val="24"/>
          <w:lang w:eastAsia="el-GR"/>
        </w:rPr>
      </w:pPr>
      <w:r>
        <w:rPr>
          <w:rFonts w:ascii="Book Antiqua" w:hAnsi="Book Antiqua"/>
          <w:b/>
          <w:sz w:val="24"/>
          <w:szCs w:val="24"/>
          <w:lang w:eastAsia="el-GR"/>
        </w:rPr>
        <w:t xml:space="preserve"> </w:t>
      </w:r>
      <w:r>
        <w:rPr>
          <w:rFonts w:ascii="Book Antiqua" w:hAnsi="Book Antiqua"/>
          <w:sz w:val="24"/>
          <w:szCs w:val="24"/>
          <w:lang w:eastAsia="el-GR"/>
        </w:rPr>
        <w:t>Στο νόμο 3852/2010 προστίθεται άρθρο 97Α ως εξής:</w:t>
      </w:r>
    </w:p>
    <w:p>
      <w:pPr>
        <w:pStyle w:val="Normal"/>
        <w:spacing w:lineRule="auto" w:line="360"/>
        <w:rPr>
          <w:rFonts w:ascii="Book Antiqua" w:hAnsi="Book Antiqua"/>
          <w:sz w:val="24"/>
          <w:szCs w:val="24"/>
          <w:lang w:eastAsia="el-GR"/>
        </w:rPr>
      </w:pPr>
      <w:r>
        <w:rPr>
          <w:rFonts w:ascii="Book Antiqua" w:hAnsi="Book Antiqua"/>
          <w:sz w:val="24"/>
          <w:szCs w:val="24"/>
          <w:lang w:eastAsia="el-GR"/>
        </w:rPr>
        <w:tab/>
        <w:tab/>
        <w:tab/>
        <w:tab/>
        <w:tab/>
        <w:t>«Άρθρο 97Α</w:t>
      </w:r>
    </w:p>
    <w:p>
      <w:pPr>
        <w:pStyle w:val="Normal"/>
        <w:spacing w:lineRule="auto" w:line="360"/>
        <w:ind w:left="2160" w:firstLine="720"/>
        <w:rPr>
          <w:rFonts w:ascii="Book Antiqua" w:hAnsi="Book Antiqua"/>
          <w:sz w:val="24"/>
          <w:szCs w:val="24"/>
          <w:lang w:eastAsia="el-GR"/>
        </w:rPr>
      </w:pPr>
      <w:r>
        <w:rPr>
          <w:rFonts w:ascii="Book Antiqua" w:hAnsi="Book Antiqua"/>
          <w:sz w:val="24"/>
          <w:szCs w:val="24"/>
          <w:lang w:eastAsia="el-GR"/>
        </w:rPr>
        <w:t>Υπηρεσία Δόμησης Δήμων</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Εκτός από τις υπηρεσιακές μονάδες που προβλέπονται στο προηγούμενο άρθρο, σε κάθε Δήμο λειτουργεί υποχρεωτικά Υπηρεσία Δόμησης (ΥΔΟΜ) εφόσον: </w:t>
      </w:r>
    </w:p>
    <w:p>
      <w:pPr>
        <w:pStyle w:val="Normal"/>
        <w:spacing w:lineRule="auto" w:line="360"/>
        <w:ind w:left="1440" w:hanging="0"/>
        <w:jc w:val="both"/>
        <w:rPr>
          <w:rFonts w:ascii="Book Antiqua" w:hAnsi="Book Antiqua"/>
          <w:sz w:val="24"/>
          <w:szCs w:val="24"/>
          <w:lang w:eastAsia="el-GR"/>
        </w:rPr>
      </w:pPr>
      <w:r>
        <w:rPr>
          <w:rFonts w:ascii="Book Antiqua" w:hAnsi="Book Antiqua"/>
          <w:sz w:val="24"/>
          <w:szCs w:val="24"/>
          <w:lang w:eastAsia="el-GR"/>
        </w:rPr>
        <w:t>α) είτε πληρούνται τα κριτήρια για την κατ’ ελάχιστο στελέχωσή τους που προβλέπονται στο προεδρικό διάταγμα που εκδίδεται κατ’ εξουσιοδότηση της παρ. 2 του άρθρου 31 του ν. 4495/2017 (Α’ 167). Η συνδρομή ή μη των κριτηρίων της παραγράφου αυτής διαπιστώνεται με απόφαση του δημάρχου, εντός ενός (1) μήνα από τη δημοσίευση του προεδρικού διατάγματος του προηγούμενου εδαφίου.</w:t>
      </w:r>
    </w:p>
    <w:p>
      <w:pPr>
        <w:pStyle w:val="Normal"/>
        <w:spacing w:lineRule="auto" w:line="360"/>
        <w:ind w:left="1418" w:hanging="0"/>
        <w:jc w:val="both"/>
        <w:rPr>
          <w:rFonts w:ascii="Book Antiqua" w:hAnsi="Book Antiqua"/>
          <w:sz w:val="24"/>
          <w:szCs w:val="24"/>
          <w:lang w:eastAsia="el-GR"/>
        </w:rPr>
      </w:pPr>
      <w:r>
        <w:rPr>
          <w:rFonts w:ascii="Book Antiqua" w:hAnsi="Book Antiqua"/>
          <w:sz w:val="24"/>
          <w:szCs w:val="24"/>
          <w:lang w:eastAsia="el-GR"/>
        </w:rPr>
        <w:t xml:space="preserve">β) είτε είναι δυνατή η στελέχωσή της, σύμφωνα με την επόμενη παράγραφο. </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Σε δήμους όπου δεν πληρούνται τα κριτήρια της παρ. 1 και συντρέχουν οι προϋποθέσεις του επόμενου εδαφίου, συγκροτούνται ΥΔΟΜ, με απόφαση του δημάρχου, που εκδίδεται εντός ενός (1) μήνα από τη δημοσίευση του προεδρικού διατάγματος της περ. α’ της προηγούμενης παραγράφου, ως εξής :</w:t>
      </w:r>
    </w:p>
    <w:p>
      <w:pPr>
        <w:pStyle w:val="Normal"/>
        <w:spacing w:lineRule="auto" w:line="360"/>
        <w:ind w:left="1418" w:hanging="0"/>
        <w:jc w:val="both"/>
        <w:rPr>
          <w:rFonts w:ascii="Book Antiqua" w:hAnsi="Book Antiqua"/>
          <w:sz w:val="24"/>
          <w:szCs w:val="24"/>
          <w:lang w:eastAsia="el-GR"/>
        </w:rPr>
      </w:pPr>
      <w:r>
        <w:rPr>
          <w:rFonts w:ascii="Book Antiqua" w:hAnsi="Book Antiqua"/>
          <w:sz w:val="24"/>
          <w:szCs w:val="24"/>
          <w:lang w:eastAsia="el-GR"/>
        </w:rPr>
        <w:t>Εφόσον υπηρετούν στον οικείο Δήμο και σε άλλες οργανικές μονάδες, πλην της ΥΔΟΜ και της Τεχνικής Υπηρεσίας, υπάλληλοι 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 για τη συγκρότηση ΥΔΟΜ, αυτοί μετακινούνται υποχρεωτικά, με την απόφαση του προηγούμενου εδαφίου, στην ΥΔΟΜ και σε θέση αντίστοιχου ιεραρχικού επιπέδου. Σε περίπτωση που περισσότεροι υπάλληλοι πληρούν τις προϋποθέσεις του προηγούμενου εδαφίου, για την κάλυψη των κενών θέσεων της ΥΔΟΜ λαμβάνονται υπόψη, κατά σειρά 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που προβλέπονται στο προεδρικό διάταγμα της παρ. 1.</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Εάν, με απόφαση του δημάρχου, διαπιστώνεται αιτιολογημένα η αδυναμία συγκρότησης αυτοτελούς ΥΔΟΜ, σύμφωνα με τις προϋποθέσεις των παρ. 1 και 2, οι αρμοδιότητες της ΥΔΟΜ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w:t>
      </w:r>
      <w:r>
        <w:rPr>
          <w:rFonts w:ascii="Book Antiqua" w:hAnsi="Book Antiqua"/>
          <w:sz w:val="24"/>
          <w:szCs w:val="24"/>
          <w:lang w:val="en-US" w:eastAsia="el-GR"/>
        </w:rPr>
        <w:t>M</w:t>
      </w:r>
      <w:r>
        <w:rPr>
          <w:rFonts w:ascii="Book Antiqua" w:hAnsi="Book Antiqua"/>
          <w:sz w:val="24"/>
          <w:szCs w:val="24"/>
          <w:lang w:eastAsia="el-GR"/>
        </w:rPr>
        <w:t>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Η παρ.3 του άρθρου 95 του ν.3852/2010 καταργείται.</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Γ’</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ΝΕΑ ΠΕΔΙΑ ΑΝΑΠΤΥΞΙΑΚΗΣ ΔΡΑΣΗΣ ΤΗΣ ΤΟΠΙΚΗΣ ΑΥΤΟΔΙΟΙΚΗΣΗΣ – ΝΟΜΙΚΑ ΠΡΟΣΩΠΑ ΟΤΑ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Επέκταση της δυνατότητας συμμετοχής ΟΤΑ α’ και β’ βαθμού σε νομικά πρόσωπα αναπτυξιακού χαρακτήρα</w:t>
      </w:r>
    </w:p>
    <w:p>
      <w:pPr>
        <w:pStyle w:val="ListParagraph"/>
        <w:numPr>
          <w:ilvl w:val="0"/>
          <w:numId w:val="2"/>
        </w:numPr>
        <w:spacing w:lineRule="auto" w:line="360"/>
        <w:jc w:val="both"/>
        <w:rPr>
          <w:rFonts w:ascii="Book Antiqua" w:hAnsi="Book Antiqua" w:eastAsia="Times New Roman" w:cs="Courier New"/>
          <w:color w:val="000000"/>
          <w:sz w:val="24"/>
          <w:szCs w:val="24"/>
          <w:lang w:eastAsia="el-GR"/>
        </w:rPr>
      </w:pPr>
      <w:r>
        <w:rPr>
          <w:rFonts w:ascii="Book Antiqua" w:hAnsi="Book Antiqua"/>
          <w:sz w:val="24"/>
          <w:szCs w:val="24"/>
        </w:rPr>
        <w:t xml:space="preserve">Κατ’ </w:t>
      </w:r>
      <w:r>
        <w:rPr>
          <w:rFonts w:eastAsia="Times New Roman" w:cs="Courier New" w:ascii="Book Antiqua" w:hAnsi="Book Antiqua"/>
          <w:color w:val="000000"/>
          <w:sz w:val="24"/>
          <w:szCs w:val="24"/>
          <w:lang w:eastAsia="el-GR"/>
        </w:rPr>
        <w:t xml:space="preserve">εξαίρεση των αριθμητικών περιορισμών </w:t>
      </w:r>
      <w:r>
        <w:rPr>
          <w:rFonts w:ascii="Book Antiqua" w:hAnsi="Book Antiqua"/>
          <w:sz w:val="24"/>
          <w:szCs w:val="24"/>
        </w:rPr>
        <w:t xml:space="preserve">του άρθρου 107 του ν. 3852/2010 και του άρθρου </w:t>
      </w:r>
      <w:r>
        <w:rPr>
          <w:rFonts w:eastAsia="Times New Roman" w:cs="Courier New" w:ascii="Book Antiqua" w:hAnsi="Book Antiqua"/>
          <w:color w:val="000000"/>
          <w:sz w:val="24"/>
          <w:szCs w:val="24"/>
          <w:lang w:eastAsia="el-GR"/>
        </w:rPr>
        <w:t xml:space="preserve">194 του ν. 3852/2010, οι ΟΤΑ α’ και β’ βαθμού δύνανται να συνιστούν αυτοτελώς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όπως ισχύει, σε αναπτυξιακές ανώνυμες εταιρείες των άρθρων 252 παρ. 3 περ. β’ και 265 του ν. 3463/2006 ή του άρθρου 194 του ν. 3852/2010 </w:t>
      </w:r>
      <w:r>
        <w:rPr>
          <w:rFonts w:ascii="Book Antiqua" w:hAnsi="Book Antiqua"/>
          <w:sz w:val="24"/>
          <w:szCs w:val="24"/>
        </w:rPr>
        <w:t xml:space="preserve">με αντικείμενο </w:t>
      </w:r>
      <w:r>
        <w:rPr>
          <w:rFonts w:eastAsia="Times New Roman" w:cs="Courier New" w:ascii="Book Antiqua" w:hAnsi="Book Antiqua"/>
          <w:color w:val="000000"/>
          <w:sz w:val="24"/>
          <w:szCs w:val="24"/>
          <w:lang w:eastAsia="el-GR"/>
        </w:rPr>
        <w:t>τουλάχιστον μία από τις κατωτέρω δραστηριότητες: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αα) Παραγωγή, αποθήκευση, ιδιοκατανάλωση ή πώληση ηλεκτρικής ή θερμικής ή ψυκτικής ενέργειας από σταθμούς Α.Π.Ε. ή Σ.Η.Θ.Υ.Α. ή Υβριδικούς Σταθμούς,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αβ)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αγ) Προμήθεια ενεργειακών προϊόντων, συσκευών και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αδ) Προμήθεια ηλεκτροκίνητων οχημάτων, υβριδικών ή μη, και εν γένει οχημάτων που χρησιμοποιούν εναλλακτικά καύσιμα,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αε) Διανομή ηλεκτρικής ενέργειας,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αστ) Προμήθεια ηλεκτρικής ενέργειας ή φυσικού αερίου προς τελικούς πελάτες, σύμφωνα με το άρθρο 2 του ν. 4001/2011 (Α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αζ) Παραγωγή, διανομή και προμήθεια θερμικής ή ψυκτικής ενέργειας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αη)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αθ) Ανάπτυξη δικτύου, διαχείριση και εκμετάλλευση υποδομών εναλλακτικών καυσίμων, σύμφωνα με το ν. 4439/2016 (Α 222) ή διαχείριση μέσων βιώσιμων μεταφορών,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αι) Εγκατάσταση και λειτουργία μονάδων αφαλάτωσης νερού με χρήση Α.Π.Ε.,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αια) Παροχή ενεργειακών υπηρεσιών, σύμφωνα με το άρθρο 10 της Δ6/13280/7.6.2011 (Β 1228) απόφασης της Υπουργού Περιβάλλοντος, Ενέργειας και Κλιματικής Αλλαγής.</w:t>
      </w:r>
    </w:p>
    <w:p>
      <w:pPr>
        <w:pStyle w:val="ListParagraph"/>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Οι εταιρείες της προηγούμενης παραγράφου μπορούν να ασκούν και οποιαδήποτε από τις κατωτέρω δραστηριότητες: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αβ) Σύνταξη μελετών αξιοποίησης των Α.Π.Ε. ή της Σ.Η.Θ.Υ.Α. ή υλοποίησης παρεμβάσεων βελτίωσης της ενεργειακής απόδοσης,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αγ) Διαχείριση ή συμμετοχή σε προγράμματα χρηματοδοτούμενα από εθνικούς πόρους ή πόρους της Ευρωπαϊκής Ενωσης σχετικά με τους σκοπούς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αδ)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αε) Ενημέρωση, εκπαίδευση και ευαισθητοποίηση σε τοπικό και περιφερειακό επίπεδο για θέματα ενεργειακής αειφορίας,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αστ)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ή άλλες δράσεις που μειώνουν την κατανάλωση της ενέργειας στις κατοικίες των ανωτέρω.</w:t>
      </w:r>
    </w:p>
    <w:p>
      <w:pPr>
        <w:pStyle w:val="Normal"/>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t>Άρθρο 180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r>
    </w:p>
    <w:p>
      <w:pPr>
        <w:pStyle w:val="ListParagraph"/>
        <w:numPr>
          <w:ilvl w:val="0"/>
          <w:numId w:val="1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Κατ’ εξαίρεση των αριθμητικών περιορισμών του άρθρου 107 του ν. 3852/2010 και του άρθρου 194 του ν. 3852/2010, οι ΟΤΑ α’ και β’ βαθμού δύνανται να συνιστούν αυτοτελώς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δύνανται να συμμετέχουν ή να χρηματοδοτούνται από ευρωπαϊκά και διεθνή προγράμματα και χρηματοδοτικά εργαλεία.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sz w:val="24"/>
          <w:szCs w:val="24"/>
        </w:rPr>
      </w:pPr>
      <w:r>
        <w:rPr>
          <w:rFonts w:eastAsia="Times New Roman" w:cs="Courier New" w:ascii="Book Antiqua" w:hAnsi="Book Antiqua"/>
          <w:color w:val="000000"/>
          <w:sz w:val="24"/>
          <w:szCs w:val="24"/>
          <w:lang w:eastAsia="el-GR"/>
        </w:rPr>
        <w:t xml:space="preserve">β) Την αξιοποίηση τοπικών φυσικών πόρων ή περιοχών ή εγκαταστάσεων σημαντικής τουριστικής ή αναπτυξιακής αξίας. Στην περίπτωση αυτή </w:t>
      </w:r>
      <w:r>
        <w:rPr>
          <w:rFonts w:eastAsia="Times New Roman" w:cs="Courier New" w:ascii="Book Antiqua" w:hAnsi="Book Antiqua"/>
          <w:sz w:val="24"/>
          <w:szCs w:val="24"/>
          <w:lang w:eastAsia="el-GR"/>
        </w:rPr>
        <w:t>και πριν από τη λήψη της απόφασης περί σύστασης της εταιρείας ή συμμετοχής σε αυτήν από το αρμόδιο συλλογικό όργανο, οι ΟΤΑ υποβάλλουν</w:t>
      </w:r>
      <w:r>
        <w:rPr>
          <w:rFonts w:eastAsia="Times New Roman" w:cs="Courier New" w:ascii="Book Antiqua" w:hAnsi="Book Antiqua"/>
          <w:color w:val="000000"/>
          <w:sz w:val="24"/>
          <w:szCs w:val="24"/>
          <w:lang w:eastAsia="el-GR"/>
        </w:rPr>
        <w:t xml:space="preserve">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w:t>
      </w:r>
      <w:r>
        <w:rPr>
          <w:rFonts w:ascii="Book Antiqua" w:hAnsi="Book Antiqua"/>
          <w:sz w:val="24"/>
          <w:szCs w:val="24"/>
        </w:rPr>
        <w:t xml:space="preserve">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Σε περίπτωση που παρέλθει άπρακτη η προθεσμία του προηγούμενου εδαφίου, το αρμόδιο συλλογικό όργανο του ενδιαφερόμενου ΟΤΑ μπορεί να εγκρίνει άνευ ετέρου τη σύσταση της εταιρείας ή τη συμμετοχή του ΟΤΑ σε αυτή.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sz w:val="24"/>
          <w:szCs w:val="24"/>
        </w:rPr>
      </w:pPr>
      <w:r>
        <w:rPr>
          <w:rFonts w:ascii="Book Antiqua" w:hAnsi="Book Antiqua"/>
          <w:sz w:val="24"/>
          <w:szCs w:val="24"/>
        </w:rPr>
        <w:t>Με απόφαση του Υπουργού Εσωτερικών μπορούν να εξειδικεύονται οι λεπτομέρειες για την εφαρμογή της περ.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pPr>
        <w:pStyle w:val="ListParagraph"/>
        <w:numPr>
          <w:ilvl w:val="0"/>
          <w:numId w:val="1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06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b/>
          <w:b/>
          <w:sz w:val="24"/>
          <w:szCs w:val="24"/>
        </w:rPr>
      </w:pPr>
      <w:r>
        <w:rPr>
          <w:rFonts w:ascii="Book Antiqua" w:hAnsi="Book Antiqua"/>
          <w:b/>
          <w:sz w:val="24"/>
          <w:szCs w:val="24"/>
        </w:rPr>
        <w:t>Άρθρο 181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b/>
          <w:b/>
          <w:sz w:val="24"/>
          <w:szCs w:val="24"/>
        </w:rPr>
      </w:pPr>
      <w:r>
        <w:rPr>
          <w:rFonts w:ascii="Book Antiqua" w:hAnsi="Book Antiqua"/>
          <w:b/>
          <w:sz w:val="24"/>
          <w:szCs w:val="24"/>
        </w:rPr>
        <w:t xml:space="preserve">Σύσταση δημοτικών μονομετοχικών Α.Ε. λειτουργίας πρατηρίου καυσίμων, για την κάλυψη των αναγκών μικρών νησιωτικών  δήμων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sz w:val="24"/>
          <w:szCs w:val="24"/>
        </w:rPr>
      </w:pPr>
      <w:r>
        <w:rPr>
          <w:rFonts w:ascii="Book Antiqua" w:hAnsi="Book Antiqua"/>
          <w:sz w:val="24"/>
          <w:szCs w:val="24"/>
        </w:rPr>
        <w:t xml:space="preserve">Κατ’ </w:t>
      </w:r>
      <w:r>
        <w:rPr>
          <w:rFonts w:eastAsia="Times New Roman" w:cs="Courier New" w:ascii="Book Antiqua" w:hAnsi="Book Antiqua"/>
          <w:color w:val="000000"/>
          <w:sz w:val="24"/>
          <w:szCs w:val="24"/>
          <w:lang w:eastAsia="el-GR"/>
        </w:rPr>
        <w:t xml:space="preserve">εξαίρεση των αριθμητικών περιορισμών </w:t>
      </w:r>
      <w:r>
        <w:rPr>
          <w:rFonts w:ascii="Book Antiqua" w:hAnsi="Book Antiqua"/>
          <w:sz w:val="24"/>
          <w:szCs w:val="24"/>
        </w:rPr>
        <w:t>του άρθρου 107 του ν. 3852/2010, μικροί νησιωτικοί δήμοι, σύμφωνα με την περ. στ’ του άρθρου 2Α</w:t>
      </w:r>
      <w:r>
        <w:rPr>
          <w:rFonts w:ascii="Book Antiqua" w:hAnsi="Book Antiqua"/>
          <w:color w:val="FF0000"/>
          <w:sz w:val="24"/>
          <w:szCs w:val="24"/>
        </w:rPr>
        <w:t xml:space="preserve"> </w:t>
      </w:r>
      <w:r>
        <w:rPr>
          <w:rFonts w:ascii="Book Antiqua" w:hAnsi="Book Antiqua"/>
          <w:sz w:val="24"/>
          <w:szCs w:val="24"/>
        </w:rPr>
        <w:t>του ν. 3852/2010</w:t>
      </w:r>
      <w:r>
        <w:rPr>
          <w:rFonts w:eastAsia="Times New Roman" w:cs="Courier New" w:ascii="Book Antiqua" w:hAnsi="Book Antiqua"/>
          <w:color w:val="000000"/>
          <w:sz w:val="24"/>
          <w:szCs w:val="24"/>
          <w:lang w:eastAsia="el-GR"/>
        </w:rPr>
        <w:t>, δύνανται, προς  εξυπηρέτηση των αναγκών των κατοίκων τους, να συνιστούν μονομετοχικές ανώνυμες εταιρείες του άρθρου 266 του ν. 3463/2006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δύνανται να εξειδικεύονται τα κριτήρια της παρούσας παραγράφου, καθώς και οι διαδικασίες ελέγχου της συνδρομής αυτών.</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Δ’</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182</w:t>
      </w:r>
    </w:p>
    <w:p>
      <w:pPr>
        <w:pStyle w:val="Normal"/>
        <w:spacing w:lineRule="auto" w:line="360"/>
        <w:jc w:val="center"/>
        <w:rPr>
          <w:rFonts w:ascii="Book Antiqua" w:hAnsi="Book Antiqua"/>
          <w:b/>
          <w:b/>
          <w:sz w:val="24"/>
          <w:szCs w:val="24"/>
        </w:rPr>
      </w:pPr>
      <w:r>
        <w:rPr>
          <w:rFonts w:ascii="Book Antiqua" w:hAnsi="Book Antiqua"/>
          <w:b/>
          <w:sz w:val="24"/>
          <w:szCs w:val="24"/>
        </w:rPr>
        <w:t>Έννοια, περιεχόμενο και τρόπος καθορισμού ανταποδοτικών τελών</w:t>
      </w:r>
    </w:p>
    <w:p>
      <w:pPr>
        <w:pStyle w:val="ListParagraph"/>
        <w:numPr>
          <w:ilvl w:val="0"/>
          <w:numId w:val="3"/>
        </w:numPr>
        <w:spacing w:lineRule="auto" w:line="360"/>
        <w:rPr>
          <w:rFonts w:ascii="Book Antiqua" w:hAnsi="Book Antiqua"/>
          <w:sz w:val="24"/>
          <w:szCs w:val="24"/>
        </w:rPr>
      </w:pPr>
      <w:r>
        <w:rPr>
          <w:rFonts w:ascii="Book Antiqua" w:hAnsi="Book Antiqua"/>
          <w:sz w:val="24"/>
          <w:szCs w:val="24"/>
        </w:rPr>
        <w:t>Η παρ. 1 του άρθρου 1 του ν. 25/1975 (Α’ 74)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b/>
          <w:sz w:val="24"/>
          <w:szCs w:val="24"/>
        </w:rPr>
        <w:t>«</w:t>
      </w:r>
      <w:r>
        <w:rPr>
          <w:rFonts w:ascii="Book Antiqua" w:hAnsi="Book Antiqua"/>
          <w:sz w:val="24"/>
          <w:szCs w:val="24"/>
        </w:rPr>
        <w:t xml:space="preserve">Το ενιαίο ανταποδοτικό τέλος καθαριότητας, φωτισμού και πρασίνου επιβάλλεται σε κάθε ακίνητο που βρίσκεται εντός της διοικητικής περιφέρειας των δήμων και προορίζεται αποκλειστικά για την κάλυψη των πάσης φύσης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των υπηρεσιών συντήρησης του πρασίνου, καθώς και κάθε άλλης παγίως παρεχόμενης υπηρεσίας από τους δήμους που σχετίζεται ή είναι συναφής με αυτές. Απαγορεύεται η με οποιονδήποτε χρήση ή δέσμευση των πόρων που προέρχονται από την είσπραξη του ενιαίου ανταποδοτικού τέλους καθαριότητας, φωτισμού και πρασίνου για την κάλυψη οποιονδήποτε άλλων δαπανών και υποχρεώσεων.  </w:t>
      </w:r>
    </w:p>
    <w:p>
      <w:pPr>
        <w:pStyle w:val="Normal"/>
        <w:spacing w:lineRule="auto" w:line="360"/>
        <w:ind w:left="709" w:hanging="0"/>
        <w:jc w:val="both"/>
        <w:rPr>
          <w:rFonts w:ascii="Book Antiqua" w:hAnsi="Book Antiqua"/>
          <w:sz w:val="24"/>
          <w:szCs w:val="24"/>
        </w:rPr>
      </w:pPr>
      <w:r>
        <w:rPr>
          <w:rFonts w:ascii="Book Antiqua" w:hAnsi="Book Antiqua"/>
          <w:sz w:val="24"/>
          <w:szCs w:val="24"/>
        </w:rPr>
        <w:t>Το ενιαίο ανταποδοτικό τέλος καθαριότητας, φωτισμού και πρασίνου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πλήρως στοιχειοθετημένη αιτιολόγηση για τον καθορισμό των συντελεστών του τέλους στο προσήκον ύψος.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 όψιν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Σε περίπτωση που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pPr>
        <w:pStyle w:val="ListParagraph"/>
        <w:numPr>
          <w:ilvl w:val="0"/>
          <w:numId w:val="3"/>
        </w:numPr>
        <w:spacing w:lineRule="auto" w:line="360"/>
        <w:jc w:val="both"/>
        <w:rPr>
          <w:rFonts w:ascii="Book Antiqua" w:hAnsi="Book Antiqua"/>
          <w:sz w:val="24"/>
          <w:szCs w:val="24"/>
        </w:rPr>
      </w:pPr>
      <w:r>
        <w:rPr>
          <w:rFonts w:ascii="Book Antiqua" w:hAnsi="Book Antiqua"/>
          <w:sz w:val="24"/>
          <w:szCs w:val="24"/>
        </w:rPr>
        <w:t>Η παρ. 4 του άρθρου 1 του ν. 25/1975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Οι γενικοί συντελεστές είναι ανεξάρτητοι μεταξύ τους, κατ’ ελάχιστον τρεις (3) και διαφοροποιούνται ανάλογα με τη χρήση κάθε ακινήτου ως εξής : </w:t>
      </w:r>
    </w:p>
    <w:p>
      <w:pPr>
        <w:pStyle w:val="Normal"/>
        <w:spacing w:lineRule="auto" w:line="360"/>
        <w:ind w:left="709" w:hanging="0"/>
        <w:jc w:val="both"/>
        <w:rPr>
          <w:rFonts w:ascii="Book Antiqua" w:hAnsi="Book Antiqua"/>
          <w:sz w:val="24"/>
          <w:szCs w:val="24"/>
        </w:rPr>
      </w:pPr>
      <w:r>
        <w:rPr>
          <w:rFonts w:ascii="Book Antiqua" w:hAnsi="Book Antiqua"/>
          <w:sz w:val="24"/>
          <w:szCs w:val="24"/>
        </w:rPr>
        <w:t>1</w:t>
      </w:r>
      <w:r>
        <w:rPr>
          <w:rFonts w:ascii="Book Antiqua" w:hAnsi="Book Antiqua"/>
          <w:sz w:val="24"/>
          <w:szCs w:val="24"/>
          <w:vertAlign w:val="superscript"/>
        </w:rPr>
        <w:t>ος</w:t>
      </w:r>
      <w:r>
        <w:rPr>
          <w:rFonts w:ascii="Book Antiqua" w:hAnsi="Book Antiqua"/>
          <w:sz w:val="24"/>
          <w:szCs w:val="24"/>
        </w:rPr>
        <w:t xml:space="preserve"> συντελεστής : ακίνητα που χρησιμοποιούνται αποκλειστικά για κατοικία. </w:t>
      </w:r>
    </w:p>
    <w:p>
      <w:pPr>
        <w:pStyle w:val="Normal"/>
        <w:spacing w:lineRule="auto" w:line="360"/>
        <w:ind w:left="709" w:hanging="0"/>
        <w:jc w:val="both"/>
        <w:rPr>
          <w:rFonts w:ascii="Book Antiqua" w:hAnsi="Book Antiqua"/>
          <w:sz w:val="24"/>
          <w:szCs w:val="24"/>
        </w:rPr>
      </w:pPr>
      <w:r>
        <w:rPr>
          <w:rFonts w:ascii="Book Antiqua" w:hAnsi="Book Antiqua"/>
          <w:sz w:val="24"/>
          <w:szCs w:val="24"/>
        </w:rPr>
        <w:t>2</w:t>
      </w:r>
      <w:r>
        <w:rPr>
          <w:rFonts w:ascii="Book Antiqua" w:hAnsi="Book Antiqua"/>
          <w:sz w:val="24"/>
          <w:szCs w:val="24"/>
          <w:vertAlign w:val="superscript"/>
        </w:rPr>
        <w:t>ος</w:t>
      </w:r>
      <w:r>
        <w:rPr>
          <w:rFonts w:ascii="Book Antiqua" w:hAnsi="Book Antiqua"/>
          <w:sz w:val="24"/>
          <w:szCs w:val="24"/>
        </w:rPr>
        <w:t xml:space="preserve"> συντελεστής: ακίνητα που χρησιμοποιούνται για κοινωφελείς, μη κερδοσκοπικούς και φιλανθρωπικούς σκοπούς .</w:t>
      </w:r>
    </w:p>
    <w:p>
      <w:pPr>
        <w:pStyle w:val="Normal"/>
        <w:spacing w:lineRule="auto" w:line="360"/>
        <w:ind w:left="709" w:hanging="0"/>
        <w:jc w:val="both"/>
        <w:rPr>
          <w:rFonts w:ascii="Book Antiqua" w:hAnsi="Book Antiqua"/>
          <w:sz w:val="24"/>
          <w:szCs w:val="24"/>
        </w:rPr>
      </w:pPr>
      <w:r>
        <w:rPr>
          <w:rFonts w:ascii="Book Antiqua" w:hAnsi="Book Antiqua"/>
          <w:sz w:val="24"/>
          <w:szCs w:val="24"/>
        </w:rPr>
        <w:t>3</w:t>
      </w:r>
      <w:r>
        <w:rPr>
          <w:rFonts w:ascii="Book Antiqua" w:hAnsi="Book Antiqua"/>
          <w:sz w:val="24"/>
          <w:szCs w:val="24"/>
          <w:vertAlign w:val="superscript"/>
        </w:rPr>
        <w:t>ος</w:t>
      </w:r>
      <w:r>
        <w:rPr>
          <w:rFonts w:ascii="Book Antiqua" w:hAnsi="Book Antiqua"/>
          <w:sz w:val="24"/>
          <w:szCs w:val="24"/>
        </w:rPr>
        <w:t xml:space="preserve"> συντελεστής: ακίνητα που χρησιμοποιούνται για την άσκηση πάσης φύσης οικονομικής δραστηριότητας.</w:t>
      </w:r>
    </w:p>
    <w:p>
      <w:pPr>
        <w:pStyle w:val="Normal"/>
        <w:spacing w:lineRule="auto" w:line="360"/>
        <w:ind w:left="709" w:hanging="0"/>
        <w:jc w:val="both"/>
        <w:rPr>
          <w:rFonts w:ascii="Book Antiqua" w:hAnsi="Book Antiqua"/>
          <w:sz w:val="24"/>
          <w:szCs w:val="24"/>
        </w:rPr>
      </w:pPr>
      <w:r>
        <w:rPr>
          <w:rFonts w:ascii="Book Antiqua" w:hAnsi="Book Antiqua"/>
          <w:sz w:val="24"/>
          <w:szCs w:val="24"/>
        </w:rPr>
        <w:t>Πέραν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 xml:space="preserve">Σε κάθε περίπτωση, κατά τον καθορισμό των γενικών και ειδικών συντελεστών λαμβάνονται υπόψη οι ιδιότητες των ακινήτων (εμβαδό, στεγασμένο ή μη, χρόνος χρήσης κλπ), ο βαθμός κατά τον οποίο τα ακίνητα επιβαρύνουν τις παρεχόμενες από τον οικείο δήμο ανταποδοτικές υπηρεσίες, καθώς και την ευρύτερη λειτουργία αυτού.  </w:t>
      </w:r>
    </w:p>
    <w:p>
      <w:pPr>
        <w:pStyle w:val="Normal"/>
        <w:spacing w:lineRule="auto" w:line="360"/>
        <w:ind w:left="709" w:hanging="0"/>
        <w:jc w:val="both"/>
        <w:rPr>
          <w:rFonts w:ascii="Book Antiqua" w:hAnsi="Book Antiqua"/>
          <w:sz w:val="24"/>
          <w:szCs w:val="24"/>
        </w:rPr>
      </w:pPr>
      <w:r>
        <w:rPr>
          <w:rFonts w:ascii="Book Antiqua" w:hAnsi="Book Antiqua"/>
          <w:sz w:val="24"/>
          <w:szCs w:val="24"/>
        </w:rPr>
        <w:t>Ο γενικός συντελεστής του ενιαίου ανταποδοτικού τέλους που αφορά τις κατοικίες ορίζεται υποχρεωτικά σε χαμηλότερο ύψος σε σχέση με τους υπόλοιπους δύο γενικούς συντελεστές, καθώς και τους ειδικούς αυτών.</w:t>
      </w:r>
    </w:p>
    <w:p>
      <w:pPr>
        <w:pStyle w:val="Normal"/>
        <w:spacing w:lineRule="auto" w:line="360"/>
        <w:ind w:left="709" w:hanging="0"/>
        <w:jc w:val="both"/>
        <w:rPr>
          <w:rFonts w:ascii="Book Antiqua" w:hAnsi="Book Antiqua"/>
          <w:sz w:val="24"/>
          <w:szCs w:val="24"/>
        </w:rPr>
      </w:pPr>
      <w:r>
        <w:rPr>
          <w:rFonts w:ascii="Book Antiqua" w:hAnsi="Book Antiqua"/>
          <w:sz w:val="24"/>
          <w:szCs w:val="24"/>
        </w:rPr>
        <w:t>Ο εκάστοτε ανώτατος σε ύψος γενικός ή ειδικός συντελεστής δεν μπορεί να οριστεί πέραν του δεκαπλασίου του γενικού συντελεστή της κατοικίας.</w:t>
      </w:r>
    </w:p>
    <w:p>
      <w:pPr>
        <w:pStyle w:val="Normal"/>
        <w:spacing w:lineRule="auto" w:line="360"/>
        <w:ind w:left="709" w:hanging="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183</w:t>
      </w:r>
    </w:p>
    <w:p>
      <w:pPr>
        <w:pStyle w:val="Normal"/>
        <w:spacing w:lineRule="auto" w:line="360"/>
        <w:jc w:val="center"/>
        <w:rPr>
          <w:rFonts w:ascii="Book Antiqua" w:hAnsi="Book Antiqua"/>
          <w:b/>
          <w:b/>
          <w:sz w:val="24"/>
          <w:szCs w:val="24"/>
        </w:rPr>
      </w:pPr>
      <w:r>
        <w:rPr>
          <w:rFonts w:ascii="Book Antiqua" w:hAnsi="Book Antiqua"/>
          <w:b/>
          <w:sz w:val="24"/>
          <w:szCs w:val="24"/>
        </w:rPr>
        <w:t>Κριτήρια κατανομής Κεντρικών Αυτοτελών Πόρων (Κ.Α.Π.)</w:t>
      </w:r>
    </w:p>
    <w:p>
      <w:pPr>
        <w:pStyle w:val="ListParagraph"/>
        <w:numPr>
          <w:ilvl w:val="0"/>
          <w:numId w:val="6"/>
        </w:numPr>
        <w:spacing w:lineRule="auto" w:line="360"/>
        <w:jc w:val="both"/>
        <w:rPr>
          <w:rFonts w:ascii="Book Antiqua" w:hAnsi="Book Antiqua"/>
          <w:sz w:val="24"/>
          <w:szCs w:val="24"/>
        </w:rPr>
      </w:pPr>
      <w:r>
        <w:rPr>
          <w:rFonts w:ascii="Book Antiqua" w:hAnsi="Book Antiqua"/>
          <w:sz w:val="24"/>
          <w:szCs w:val="24"/>
        </w:rPr>
        <w:t>Οι  παρ. 5 και 6 του άρθρου 25 του ν. 1828/1989 (Α’ 2) τροποποιούνται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w:t>
      </w:r>
    </w:p>
    <w:p>
      <w:pPr>
        <w:pStyle w:val="Normal"/>
        <w:spacing w:lineRule="auto" w:line="360"/>
        <w:ind w:left="709" w:hanging="0"/>
        <w:jc w:val="both"/>
        <w:rPr>
          <w:rFonts w:ascii="Book Antiqua" w:hAnsi="Book Antiqua"/>
          <w:sz w:val="24"/>
          <w:szCs w:val="24"/>
        </w:rPr>
      </w:pPr>
      <w:r>
        <w:rPr>
          <w:rFonts w:ascii="Book Antiqua" w:hAnsi="Book Antiqua"/>
          <w:sz w:val="24"/>
          <w:szCs w:val="24"/>
        </w:rPr>
        <w:t>Ως κριτήρια κατανομής λαμβάνονται υπόψη ιδίως:</w:t>
      </w:r>
    </w:p>
    <w:p>
      <w:pPr>
        <w:pStyle w:val="Normal"/>
        <w:spacing w:lineRule="auto" w:line="360"/>
        <w:ind w:left="709" w:hanging="0"/>
        <w:jc w:val="both"/>
        <w:rPr>
          <w:rFonts w:ascii="Book Antiqua" w:hAnsi="Book Antiqua"/>
          <w:sz w:val="24"/>
          <w:szCs w:val="24"/>
        </w:rPr>
      </w:pPr>
      <w:r>
        <w:rPr>
          <w:rFonts w:ascii="Book Antiqua" w:hAnsi="Book Antiqua"/>
          <w:sz w:val="24"/>
          <w:szCs w:val="24"/>
        </w:rPr>
        <w:t>α) το μήκος των δικτύων ύδρευσης και αποχέτευσης,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το μήκος και η βατότητα του οδικού δικτύου,</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 η υπαγωγή στην αντίστοιχη κατηγορία Δήμων, σύμφωνα με το άρθρο 2Α του ν. 3852/2010.</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δ) το επίπεδο των παρεχόμενων κοινωνικών υπηρεσιών</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ε) η δυνατότητα άντλησης τοπικών πόρων,</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στ) οι πληθυσμιακές διακυμάνσεις ανά εποχές και η δημογραφική τάση,</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ζ) οι κλιματολογικές συνθήκες και τα ιδιαίτερα περιβαλλοντικά χαρακτηριστικά,</w:t>
      </w:r>
    </w:p>
    <w:p>
      <w:pPr>
        <w:pStyle w:val="Normal"/>
        <w:spacing w:lineRule="auto" w:line="360"/>
        <w:ind w:left="709" w:hanging="0"/>
        <w:jc w:val="both"/>
        <w:rPr>
          <w:rFonts w:ascii="Book Antiqua" w:hAnsi="Book Antiqua"/>
          <w:sz w:val="24"/>
          <w:szCs w:val="24"/>
        </w:rPr>
      </w:pPr>
      <w:r>
        <w:rPr>
          <w:rFonts w:ascii="Book Antiqua" w:hAnsi="Book Antiqua"/>
          <w:sz w:val="24"/>
          <w:szCs w:val="24"/>
        </w:rPr>
        <w:t>η) το επίπεδο των βασικών υποδομών του Ο.Τ.Α. (λιμένες, συγκοινωνίες, σχολικές και αθλητικές υποδομές κ.λπ.)</w:t>
      </w:r>
    </w:p>
    <w:p>
      <w:pPr>
        <w:pStyle w:val="Normal"/>
        <w:spacing w:lineRule="auto" w:line="360"/>
        <w:ind w:left="709" w:hanging="0"/>
        <w:jc w:val="both"/>
        <w:rPr>
          <w:rFonts w:ascii="Book Antiqua" w:hAnsi="Book Antiqua"/>
          <w:sz w:val="24"/>
          <w:szCs w:val="24"/>
        </w:rPr>
      </w:pPr>
      <w:r>
        <w:rPr>
          <w:rFonts w:ascii="Book Antiqua" w:hAnsi="Book Antiqua"/>
          <w:sz w:val="24"/>
          <w:szCs w:val="24"/>
        </w:rPr>
        <w:t>θ) το ποσοστό ανεργίας στον οικείο ΟΤΑ,</w:t>
      </w:r>
    </w:p>
    <w:p>
      <w:pPr>
        <w:pStyle w:val="Normal"/>
        <w:spacing w:lineRule="auto" w:line="360"/>
        <w:ind w:left="709" w:hanging="0"/>
        <w:jc w:val="both"/>
        <w:rPr>
          <w:rFonts w:ascii="Book Antiqua" w:hAnsi="Book Antiqua"/>
          <w:sz w:val="24"/>
          <w:szCs w:val="24"/>
        </w:rPr>
      </w:pPr>
      <w:r>
        <w:rPr>
          <w:rFonts w:ascii="Book Antiqua" w:hAnsi="Book Antiqua"/>
          <w:sz w:val="24"/>
          <w:szCs w:val="24"/>
        </w:rPr>
        <w:t>ι) η χωρική έκταση του Ο.Τ.Α.</w:t>
      </w:r>
    </w:p>
    <w:p>
      <w:pPr>
        <w:pStyle w:val="Normal"/>
        <w:spacing w:lineRule="auto" w:line="360"/>
        <w:ind w:left="709" w:hanging="0"/>
        <w:jc w:val="both"/>
        <w:rPr>
          <w:rFonts w:ascii="Book Antiqua" w:hAnsi="Book Antiqua"/>
          <w:sz w:val="24"/>
          <w:szCs w:val="24"/>
        </w:rPr>
      </w:pPr>
      <w:r>
        <w:rPr>
          <w:rFonts w:ascii="Book Antiqua" w:hAnsi="Book Antiqua"/>
          <w:sz w:val="24"/>
          <w:szCs w:val="24"/>
        </w:rPr>
        <w:t>ια) το επίπεδο του παραγόμενου ΑΕΠ από τον ΟΤΑ ως ποσοστού του συνολικού ΑΕΠ της χώρας</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διατάξεις της παραγράφου αυτής ισχύουν από 1.1.2019.</w:t>
      </w:r>
    </w:p>
    <w:p>
      <w:pPr>
        <w:pStyle w:val="Normal"/>
        <w:spacing w:lineRule="auto" w:line="360"/>
        <w:ind w:left="709" w:hanging="0"/>
        <w:jc w:val="both"/>
        <w:rPr>
          <w:rFonts w:ascii="Book Antiqua" w:hAnsi="Book Antiqua"/>
          <w:sz w:val="24"/>
          <w:szCs w:val="24"/>
        </w:rPr>
      </w:pPr>
      <w:r>
        <w:rPr>
          <w:rFonts w:ascii="Book Antiqua" w:hAnsi="Book Antiqua"/>
          <w:sz w:val="24"/>
          <w:szCs w:val="24"/>
        </w:rP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pPr>
        <w:pStyle w:val="Normal"/>
        <w:spacing w:lineRule="auto" w:line="360"/>
        <w:ind w:left="709" w:hanging="0"/>
        <w:jc w:val="both"/>
        <w:rPr>
          <w:rFonts w:ascii="Book Antiqua" w:hAnsi="Book Antiqua"/>
          <w:sz w:val="24"/>
          <w:szCs w:val="24"/>
        </w:rPr>
      </w:pPr>
      <w:r>
        <w:rPr>
          <w:rFonts w:ascii="Book Antiqua" w:hAnsi="Book Antiqua"/>
          <w:sz w:val="24"/>
          <w:szCs w:val="24"/>
        </w:rPr>
        <w:t>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τη Διεύθυνση Οικονομικών Τ.Α του Υπουργείου Εσωτερικών».</w:t>
      </w:r>
    </w:p>
    <w:p>
      <w:pPr>
        <w:pStyle w:val="ListParagraph"/>
        <w:numPr>
          <w:ilvl w:val="0"/>
          <w:numId w:val="6"/>
        </w:numPr>
        <w:spacing w:lineRule="auto" w:line="360"/>
        <w:jc w:val="both"/>
        <w:rPr>
          <w:rFonts w:ascii="Book Antiqua" w:hAnsi="Book Antiqua"/>
          <w:sz w:val="24"/>
          <w:szCs w:val="24"/>
        </w:rPr>
      </w:pPr>
      <w:r>
        <w:rPr>
          <w:rFonts w:ascii="Book Antiqua" w:hAnsi="Book Antiqua"/>
          <w:sz w:val="24"/>
          <w:szCs w:val="24"/>
          <w:lang w:val="en-US"/>
        </w:rPr>
        <w:t>H</w:t>
      </w:r>
      <w:r>
        <w:rPr>
          <w:rFonts w:ascii="Book Antiqua" w:hAnsi="Book Antiqua"/>
          <w:sz w:val="24"/>
          <w:szCs w:val="24"/>
        </w:rPr>
        <w:t xml:space="preserve"> παρ. 7 του άρθρου 2 του ν. 4038/2012 (Α’ 14)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«Τα έσοδα της παραγράφου 1 του άρθρου 259 του ν. 3852/2010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περίπτωσης α` της ανωτέρω παραγράφου διατίθεται για την κάλυψη επενδυτικών δαπανών των δήμων. 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τα κριτήρια και η διαδικασία κατανομής των εσόδων αυτών, με βάση τα κριτήρια της παρ. 5 του άρθρου 25 του ν. 1828/1989».</w:t>
      </w:r>
    </w:p>
    <w:p>
      <w:pPr>
        <w:pStyle w:val="Normal"/>
        <w:spacing w:lineRule="auto" w:line="360"/>
        <w:ind w:left="709" w:hanging="0"/>
        <w:jc w:val="both"/>
        <w:rPr>
          <w:rFonts w:ascii="Book Antiqua" w:hAnsi="Book Antiqua"/>
          <w:sz w:val="24"/>
          <w:szCs w:val="24"/>
        </w:rPr>
      </w:pPr>
      <w:r>
        <w:rPr>
          <w:rFonts w:ascii="Book Antiqua" w:hAnsi="Book Antiqua"/>
          <w:sz w:val="24"/>
          <w:szCs w:val="24"/>
        </w:rPr>
      </w:r>
    </w:p>
    <w:p>
      <w:pPr>
        <w:pStyle w:val="Normal"/>
        <w:spacing w:lineRule="auto" w:line="360"/>
        <w:ind w:left="709" w:hanging="0"/>
        <w:jc w:val="center"/>
        <w:rPr>
          <w:rFonts w:ascii="Book Antiqua" w:hAnsi="Book Antiqua"/>
          <w:b/>
          <w:b/>
          <w:sz w:val="24"/>
          <w:szCs w:val="24"/>
        </w:rPr>
      </w:pPr>
      <w:r>
        <w:rPr>
          <w:rFonts w:ascii="Book Antiqua" w:hAnsi="Book Antiqua"/>
          <w:b/>
          <w:sz w:val="24"/>
          <w:szCs w:val="24"/>
        </w:rPr>
        <w:t>Άρθρο 184</w:t>
      </w:r>
    </w:p>
    <w:p>
      <w:pPr>
        <w:pStyle w:val="Normal"/>
        <w:spacing w:lineRule="auto" w:line="360"/>
        <w:ind w:left="709" w:hanging="0"/>
        <w:jc w:val="center"/>
        <w:rPr>
          <w:rFonts w:ascii="Book Antiqua" w:hAnsi="Book Antiqua"/>
          <w:b/>
          <w:b/>
          <w:sz w:val="24"/>
          <w:szCs w:val="24"/>
        </w:rPr>
      </w:pPr>
      <w:r>
        <w:rPr>
          <w:rFonts w:ascii="Book Antiqua" w:hAnsi="Book Antiqua"/>
          <w:b/>
          <w:sz w:val="24"/>
          <w:szCs w:val="24"/>
        </w:rPr>
        <w:t>Τροποποίηση άρθρου 259 του ν. 3852/2010</w:t>
      </w:r>
    </w:p>
    <w:p>
      <w:pPr>
        <w:pStyle w:val="ListParagraph"/>
        <w:numPr>
          <w:ilvl w:val="0"/>
          <w:numId w:val="110"/>
        </w:numPr>
        <w:spacing w:lineRule="auto" w:line="360"/>
        <w:jc w:val="both"/>
        <w:rPr>
          <w:rFonts w:ascii="Book Antiqua" w:hAnsi="Book Antiqua"/>
          <w:sz w:val="24"/>
          <w:szCs w:val="24"/>
        </w:rPr>
      </w:pPr>
      <w:r>
        <w:rPr>
          <w:rFonts w:ascii="Book Antiqua" w:hAnsi="Book Antiqua"/>
          <w:sz w:val="24"/>
          <w:szCs w:val="24"/>
        </w:rPr>
        <w:t>Η παρ. 4 του άρθρου 259 του ν. 3852/2010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επί τη βάσει των κριτηρίων της παρ. 5 του άρθρου 25 του ν. 1828/1989. Μεταξύ αυτών συνεκτιμάται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pPr>
        <w:pStyle w:val="Normal"/>
        <w:numPr>
          <w:ilvl w:val="0"/>
          <w:numId w:val="110"/>
        </w:numPr>
        <w:spacing w:lineRule="auto" w:line="360"/>
        <w:jc w:val="both"/>
        <w:rPr>
          <w:rFonts w:ascii="Book Antiqua" w:hAnsi="Book Antiqua"/>
          <w:sz w:val="24"/>
          <w:szCs w:val="24"/>
        </w:rPr>
      </w:pPr>
      <w:r>
        <w:rPr>
          <w:rFonts w:ascii="Book Antiqua" w:hAnsi="Book Antiqua"/>
          <w:sz w:val="24"/>
          <w:szCs w:val="24"/>
        </w:rPr>
        <w:t>Στο άρθρο 259 προστίθεται παράγραφος 4Α ως εξής:</w:t>
      </w:r>
    </w:p>
    <w:p>
      <w:pPr>
        <w:pStyle w:val="ListParagraph"/>
        <w:numPr>
          <w:ilvl w:val="0"/>
          <w:numId w:val="110"/>
        </w:numPr>
        <w:spacing w:lineRule="auto" w:line="360"/>
        <w:jc w:val="both"/>
        <w:rPr>
          <w:rFonts w:ascii="Book Antiqua" w:hAnsi="Book Antiqua"/>
          <w:sz w:val="24"/>
          <w:szCs w:val="24"/>
        </w:rPr>
      </w:pPr>
      <w:r>
        <w:rPr>
          <w:rFonts w:ascii="Book Antiqua" w:hAnsi="Book Antiqua"/>
          <w:sz w:val="24"/>
          <w:szCs w:val="24"/>
        </w:rPr>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Με απόφαση του Υπουργού Εσωτερικών, μετά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pPr>
        <w:pStyle w:val="ListParagraph"/>
        <w:spacing w:lineRule="auto" w:line="360"/>
        <w:jc w:val="both"/>
        <w:rPr>
          <w:rFonts w:ascii="Book Antiqua" w:hAnsi="Book Antiqua"/>
          <w:sz w:val="24"/>
          <w:szCs w:val="24"/>
        </w:rPr>
      </w:pPr>
      <w:r>
        <w:rPr>
          <w:rFonts w:ascii="Book Antiqua" w:hAnsi="Book Antiqua"/>
          <w:sz w:val="24"/>
          <w:szCs w:val="24"/>
        </w:rPr>
      </w:r>
    </w:p>
    <w:p>
      <w:pPr>
        <w:pStyle w:val="ListParagraph"/>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ind w:left="720" w:hanging="0"/>
        <w:jc w:val="center"/>
        <w:rPr>
          <w:rFonts w:ascii="Book Antiqua" w:hAnsi="Book Antiqua"/>
          <w:b/>
          <w:b/>
          <w:sz w:val="24"/>
          <w:szCs w:val="24"/>
        </w:rPr>
      </w:pPr>
      <w:r>
        <w:rPr>
          <w:rFonts w:ascii="Book Antiqua" w:hAnsi="Book Antiqua"/>
          <w:b/>
          <w:sz w:val="24"/>
          <w:szCs w:val="24"/>
        </w:rPr>
        <w:t>Άρθρο 185</w:t>
      </w:r>
    </w:p>
    <w:p>
      <w:pPr>
        <w:pStyle w:val="Normal"/>
        <w:spacing w:lineRule="auto" w:line="360"/>
        <w:ind w:left="720" w:hanging="0"/>
        <w:jc w:val="center"/>
        <w:rPr>
          <w:rFonts w:ascii="Book Antiqua" w:hAnsi="Book Antiqua"/>
          <w:b/>
          <w:b/>
          <w:sz w:val="24"/>
          <w:szCs w:val="24"/>
        </w:rPr>
      </w:pPr>
      <w:r>
        <w:rPr>
          <w:rFonts w:ascii="Book Antiqua" w:hAnsi="Book Antiqua"/>
          <w:b/>
          <w:sz w:val="24"/>
          <w:szCs w:val="24"/>
        </w:rPr>
        <w:t>Τροποποίηση άρθρου 260 του ν 3852/2010</w:t>
      </w:r>
    </w:p>
    <w:p>
      <w:pPr>
        <w:pStyle w:val="ListParagraph"/>
        <w:spacing w:lineRule="auto" w:line="360"/>
        <w:ind w:left="360" w:firstLine="349"/>
        <w:jc w:val="both"/>
        <w:rPr>
          <w:rFonts w:ascii="Book Antiqua" w:hAnsi="Book Antiqua"/>
          <w:sz w:val="24"/>
          <w:szCs w:val="24"/>
        </w:rPr>
      </w:pPr>
      <w:r>
        <w:rPr>
          <w:rFonts w:ascii="Book Antiqua" w:hAnsi="Book Antiqua"/>
          <w:sz w:val="24"/>
          <w:szCs w:val="24"/>
        </w:rPr>
        <w:t>Η παρ. 5 του άρθρου 260 του ν. 3852/2010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Οικονομικών, ύστερα από γνώμη της Ένωσης Περιφερειών,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186</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προϋπολογισμού δήμων</w:t>
      </w:r>
    </w:p>
    <w:p>
      <w:pPr>
        <w:pStyle w:val="Normal"/>
        <w:spacing w:lineRule="auto" w:line="360"/>
        <w:jc w:val="both"/>
        <w:rPr>
          <w:rFonts w:ascii="Book Antiqua" w:hAnsi="Book Antiqua"/>
          <w:sz w:val="24"/>
          <w:szCs w:val="24"/>
        </w:rPr>
      </w:pPr>
      <w:r>
        <w:rPr>
          <w:rFonts w:ascii="Book Antiqua" w:hAnsi="Book Antiqua"/>
          <w:sz w:val="24"/>
          <w:szCs w:val="24"/>
        </w:rPr>
        <w:t>Το άρθρο 77 του ν. 4172/2013 (Α’ 167) τροποποιείται ως εξής:</w:t>
      </w:r>
    </w:p>
    <w:p>
      <w:pPr>
        <w:pStyle w:val="Normal"/>
        <w:spacing w:lineRule="auto" w:line="360"/>
        <w:jc w:val="center"/>
        <w:rPr>
          <w:rFonts w:ascii="Book Antiqua" w:hAnsi="Book Antiqua"/>
          <w:sz w:val="24"/>
          <w:szCs w:val="24"/>
        </w:rPr>
      </w:pPr>
      <w:r>
        <w:rPr>
          <w:rFonts w:ascii="Book Antiqua" w:hAnsi="Book Antiqua"/>
          <w:sz w:val="24"/>
          <w:szCs w:val="24"/>
        </w:rPr>
        <w:t>«Άρθρο 77</w:t>
      </w:r>
    </w:p>
    <w:p>
      <w:pPr>
        <w:pStyle w:val="Normal"/>
        <w:spacing w:lineRule="auto" w:line="360"/>
        <w:jc w:val="center"/>
        <w:rPr>
          <w:rFonts w:ascii="Book Antiqua" w:hAnsi="Book Antiqua"/>
          <w:sz w:val="24"/>
          <w:szCs w:val="24"/>
        </w:rPr>
      </w:pPr>
      <w:r>
        <w:rPr>
          <w:rFonts w:ascii="Book Antiqua" w:hAnsi="Book Antiqua"/>
          <w:sz w:val="24"/>
          <w:szCs w:val="24"/>
        </w:rPr>
        <w:t>Προϋπολογισμός δήμων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Με κοινή απόφαση των Υπουργών Οικονομικών και Εσωτερικών που εκδίδεται τον Ιούλιο κάθε έτους, μετά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Κάθε έτος το δημοτικό συμβούλιο, με απόφαση του, η οποία διαβιβάζεται στο συμβούλιο κάθε κοινότητας έως το τέλος Ιουνίου, καθορίζει το ανώτατο ύψος του προϋπολογισμού εξόδων κάθε κοινότητας για το επόμενο οικονομικό έτος.</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Το συμβούλιο κοινότητας με πληθυσμό άνω των πεντακοσίων (500) κατοίκων ή ο πρόεδρος κοινότητας με πληθυσμό έως πεντακόσιους (500) κατοίκους καταρτίζει σχέδιο του προϋπολογισμού εξόδων της κοινότητας, το οποίο δεν επιτρέπεται να υπερβαίνει το ανώτατο ποσό που καθορίστηκε σύμφωνα με την προηγούμενη παράγραφο. Το σχέδιο, συνοδευμένο από αιτιολογική έκθεση, αποστέλλεται στην οικονομική επιτροπή έως την 20ή Ιουλίου και σε περίπτωση μη κατάρτισης ή μη εμπρόθεσμης υποβολής του από την κοινότητα, το σχέδιο του προϋπολογισμού εξόδων καταρτίζεται από αυτήν.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pPr>
        <w:pStyle w:val="Normal"/>
        <w:spacing w:lineRule="auto" w:line="360"/>
        <w:ind w:left="426" w:hanging="0"/>
        <w:jc w:val="both"/>
        <w:rPr>
          <w:rFonts w:ascii="Book Antiqua" w:hAnsi="Book Antiqua"/>
          <w:sz w:val="24"/>
          <w:szCs w:val="24"/>
        </w:rPr>
      </w:pPr>
      <w:r>
        <w:rPr>
          <w:rFonts w:ascii="Book Antiqua" w:hAnsi="Book Antiqua"/>
          <w:sz w:val="24"/>
          <w:szCs w:val="24"/>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Η οικονομική επιτροπή, έως την 20η Σεπτεμβρίου, εξετάζει το προσχέδιο που της παραδίδει η εκτελεστική επιτροπή, καθώς και το σχέδιο του προϋπολογισμού εξόδων εκάστης κοινότητας και ειδικότερα εάν: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οι συνολικές δαπάνες που αναγράφονται σε αυτό υπερβαίνουν το ανώτατο ποσό που έχει καθοριστεί από το δημοτικό συμβούλιο για κάθε κοινότητα,</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οι δαπάνες αφορούν τις αρμοδιότητες που έχουν μεταβιβαστεί από το δημοτικό συμβούλιο στις κοινότητες,</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γ) τα έσοδα και οι δαπάνες είναι νόμιμες,</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δ) έχουν εγγραφεί οι υποχρεωτικές δαπάνες και τα έσοδα που επιβάλλονται υποχρεωτικά από νόμο και</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ε) τηρούνται οι διατάξεις της παραγράφου 2 του παρόντος και εφόσον απαιτείται το αναμορφώνει αναλόγως και καταρτίζει το σχέδιο του προϋπολογισμού.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Σε ειδικό παράρτημα του προϋπολογισμού, αναφέρονται οι δράσεις που αφορούν στις κοινότητες, συμπεριλαμβανομένων των έργων και των υπηρεσιών τους.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α) έχουν καταρτίσει μη ρεαλιστικά σχέδια προϋπολογισμών,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β) έχουν παραβεί τις οδηγίες κατάρτισης των προϋπολογισμών που παρασχέθηκαν με την κοινή υπουργική απόφαση της παραγράφου 1 του παρόντος και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w:t>
      </w:r>
    </w:p>
    <w:p>
      <w:pPr>
        <w:pStyle w:val="Normal"/>
        <w:numPr>
          <w:ilvl w:val="0"/>
          <w:numId w:val="4"/>
        </w:numPr>
        <w:spacing w:lineRule="auto" w:line="360" w:before="0" w:after="200"/>
        <w:contextualSpacing/>
        <w:jc w:val="both"/>
        <w:rPr>
          <w:rFonts w:ascii="Book Antiqua" w:hAnsi="Book Antiqua"/>
          <w:sz w:val="24"/>
          <w:szCs w:val="24"/>
        </w:rPr>
      </w:pPr>
      <w:r>
        <w:rPr>
          <w:rFonts w:eastAsia="Times New Roman" w:cs="Courier New" w:ascii="Book Antiqua" w:hAnsi="Book Antiqua"/>
          <w:color w:val="000000"/>
          <w:sz w:val="24"/>
          <w:szCs w:val="24"/>
          <w:lang w:eastAsia="el-GR"/>
        </w:rPr>
        <w:t>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 xml:space="preserve">Η συζήτηση και η ψήφιση του προϋπολογισμού διεξάγεται αναλυτικά μέχρι τεταρτοψήφιου κωδικού αριθμού εσόδων και δαπανών και τυχόν αναπτύξεων αυτού, επί της εισήγησης της οικονομικής επιτροπής και επί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της παρ. 2 του παρόντος άρθρου. Οι αρμόδιες υπηρεσίες του δήμου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pPr>
        <w:pStyle w:val="Normal"/>
        <w:numPr>
          <w:ilvl w:val="0"/>
          <w:numId w:val="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7 ή αν ο πρόεδρος του δημοτικού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8 και 9.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pPr>
        <w:pStyle w:val="Normal"/>
        <w:numPr>
          <w:ilvl w:val="0"/>
          <w:numId w:val="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προνοιακών επιδομάτων: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187</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προϋπολογισμού Περιφερειών</w:t>
      </w:r>
    </w:p>
    <w:p>
      <w:pPr>
        <w:pStyle w:val="Normal"/>
        <w:spacing w:lineRule="auto" w:line="360"/>
        <w:jc w:val="both"/>
        <w:rPr>
          <w:rFonts w:ascii="Book Antiqua" w:hAnsi="Book Antiqua"/>
          <w:sz w:val="24"/>
          <w:szCs w:val="24"/>
        </w:rPr>
      </w:pPr>
      <w:r>
        <w:rPr>
          <w:rFonts w:ascii="Book Antiqua" w:hAnsi="Book Antiqua"/>
          <w:sz w:val="24"/>
          <w:szCs w:val="24"/>
        </w:rPr>
        <w:t>Το άρθρο 78 του ν. 4172/2013 (Α’ 167) τροποποιείται ως εξής:</w:t>
      </w:r>
    </w:p>
    <w:p>
      <w:pPr>
        <w:pStyle w:val="Normal"/>
        <w:spacing w:lineRule="auto" w:line="360"/>
        <w:jc w:val="center"/>
        <w:rPr>
          <w:rFonts w:ascii="Book Antiqua" w:hAnsi="Book Antiqua"/>
          <w:sz w:val="24"/>
          <w:szCs w:val="24"/>
        </w:rPr>
      </w:pPr>
      <w:r>
        <w:rPr>
          <w:rFonts w:ascii="Book Antiqua" w:hAnsi="Book Antiqua"/>
          <w:sz w:val="24"/>
          <w:szCs w:val="24"/>
        </w:rPr>
        <w:t>«Άρθρο 78</w:t>
      </w:r>
    </w:p>
    <w:p>
      <w:pPr>
        <w:pStyle w:val="Normal"/>
        <w:spacing w:lineRule="auto" w:line="360"/>
        <w:jc w:val="center"/>
        <w:rPr>
          <w:rFonts w:ascii="Book Antiqua" w:hAnsi="Book Antiqua"/>
          <w:sz w:val="24"/>
          <w:szCs w:val="24"/>
        </w:rPr>
      </w:pPr>
      <w:r>
        <w:rPr>
          <w:rFonts w:ascii="Book Antiqua" w:hAnsi="Book Antiqua"/>
          <w:sz w:val="24"/>
          <w:szCs w:val="24"/>
        </w:rPr>
        <w:t>Προϋπολογισμός Περιφερειών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pPr>
        <w:pStyle w:val="Normal"/>
        <w:spacing w:lineRule="auto" w:line="360"/>
        <w:ind w:left="426" w:hanging="0"/>
        <w:jc w:val="both"/>
        <w:rPr>
          <w:rFonts w:ascii="Book Antiqua" w:hAnsi="Book Antiqua"/>
          <w:sz w:val="24"/>
          <w:szCs w:val="24"/>
        </w:rPr>
      </w:pPr>
      <w:r>
        <w:rPr>
          <w:rFonts w:eastAsia="Times New Roman" w:cs="Courier New" w:ascii="Book Antiqua" w:hAnsi="Book Antiqua"/>
          <w:color w:val="000000"/>
          <w:sz w:val="24"/>
          <w:szCs w:val="24"/>
          <w:lang w:eastAsia="el-GR"/>
        </w:rPr>
        <w:t xml:space="preserve">Η εκτελεστική επιτροπή έως την 20ή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w:t>
      </w:r>
      <w:r>
        <w:rPr>
          <w:rFonts w:ascii="Book Antiqua" w:hAnsi="Book Antiqua"/>
          <w:sz w:val="24"/>
          <w:szCs w:val="24"/>
        </w:rPr>
        <w:t>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Η οικονομική επιτροπή, έως την 20η Σεπτεμβρίου, εξετάζει το προσχέδιο που της παραδίδει η εκτελεστική επιτροπή και ειδικότερα εάν: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 τα έσοδα και οι δαπάνες είναι νόμιμες,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β) έχουν εγγραφεί οι υποχρεωτικές δαπάνες και τα έσοδα που επιβάλλονται υποχρεωτικά από νόμο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 κάθε περιφέρειας.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426"/>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ab/>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α) έχουν καταρτίσει μη ρεαλιστικά σχέδια προϋπολογισμών, 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κωδικών αριθμών του σχεδίου τον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τυχόν προσαρμογές που επήλθαν στο σχέδιο του προϋπολογισμού.</w:t>
      </w:r>
    </w:p>
    <w:p>
      <w:pPr>
        <w:pStyle w:val="Normal"/>
        <w:numPr>
          <w:ilvl w:val="0"/>
          <w:numId w:val="5"/>
        </w:numPr>
        <w:spacing w:lineRule="auto" w:line="360" w:before="0" w:after="200"/>
        <w:contextualSpacing/>
        <w:jc w:val="both"/>
        <w:rPr>
          <w:rFonts w:ascii="Book Antiqua" w:hAnsi="Book Antiqua"/>
          <w:sz w:val="24"/>
          <w:szCs w:val="24"/>
        </w:rPr>
      </w:pPr>
      <w:r>
        <w:rPr>
          <w:rFonts w:eastAsia="Times New Roman" w:cs="Courier New" w:ascii="Book Antiqua" w:hAnsi="Book Antiqua"/>
          <w:color w:val="000000"/>
          <w:sz w:val="24"/>
          <w:szCs w:val="24"/>
          <w:lang w:eastAsia="el-GR"/>
        </w:rPr>
        <w:t>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5 και 6 και υποβάλλει τη σχετική απόφαση σε έντυπη και ηλεκτρονική μορφή για έλεγχο στην αρμόδια για την εποπτεία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 xml:space="preserve">Η συζήτηση και η ψήφιση του προϋπολογισμού διεξάγεται αναλυτικά έως κωδικό αριθμό εσόδων και δαπανών σε επίπεδο μονάδας επί της εισήγησης της οικονομικής επιτροπής και επί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 2 του παρόντος άρθρου. Οι αρμόδιες υπηρεσίες της περιφέρειας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5 και 6.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ascii="Book Antiqua" w:hAnsi="Book Antiqua"/>
          <w:sz w:val="24"/>
          <w:szCs w:val="24"/>
        </w:rPr>
        <w:t>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Οι κάθε είδους αποδοχές του προσωπικού, περιλαμβανομένων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w:t>
      </w:r>
    </w:p>
    <w:p>
      <w:pPr>
        <w:pStyle w:val="Normal"/>
        <w:spacing w:lineRule="auto" w:line="360"/>
        <w:ind w:left="426" w:hanging="0"/>
        <w:jc w:val="both"/>
        <w:rPr>
          <w:rFonts w:ascii="Book Antiqua" w:hAnsi="Book Antiqua"/>
          <w:sz w:val="24"/>
          <w:szCs w:val="24"/>
        </w:rPr>
      </w:pPr>
      <w:r>
        <w:rPr>
          <w:rFonts w:ascii="Book Antiqua" w:hAnsi="Book Antiqua"/>
          <w:sz w:val="24"/>
          <w:szCs w:val="24"/>
        </w:rPr>
        <w:t>γ) Οι παροχές σε είδος για την προστασία των εργαζομένων.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δ) Η γραφική ύλη, τα έντυπα και τα βιβλία των υπηρεσιών, κάθε είδους καύσιμο και ελαιολιπαντικό,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ε) Τα μισθώματα των ακινήτων που χρησιμοποιούνται για τις υπηρεσίες της περιφέρειας.</w:t>
      </w:r>
    </w:p>
    <w:p>
      <w:pPr>
        <w:pStyle w:val="Normal"/>
        <w:spacing w:lineRule="auto" w:line="360"/>
        <w:ind w:left="426" w:hanging="0"/>
        <w:jc w:val="both"/>
        <w:rPr>
          <w:rFonts w:ascii="Book Antiqua" w:hAnsi="Book Antiqua"/>
          <w:sz w:val="24"/>
          <w:szCs w:val="24"/>
        </w:rPr>
      </w:pPr>
      <w:r>
        <w:rPr>
          <w:rFonts w:ascii="Book Antiqua" w:hAnsi="Book Antiqua"/>
          <w:sz w:val="24"/>
          <w:szCs w:val="24"/>
        </w:rPr>
        <w:t>στ) Τα έξοδα βεβαίωσης και είσπραξης.</w:t>
      </w:r>
    </w:p>
    <w:p>
      <w:pPr>
        <w:pStyle w:val="Normal"/>
        <w:spacing w:lineRule="auto" w:line="360"/>
        <w:ind w:left="426" w:hanging="0"/>
        <w:jc w:val="both"/>
        <w:rPr>
          <w:rFonts w:ascii="Book Antiqua" w:hAnsi="Book Antiqua"/>
          <w:sz w:val="24"/>
          <w:szCs w:val="24"/>
        </w:rPr>
      </w:pPr>
      <w:r>
        <w:rPr>
          <w:rFonts w:ascii="Book Antiqua" w:hAnsi="Book Antiqua"/>
          <w:sz w:val="24"/>
          <w:szCs w:val="24"/>
        </w:rPr>
        <w:t>ζ) Τα τοκοχρεολύσια των δανείων.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η) Τα έξοδα υποχρεωτικής από το νόμο ασφάλισης των οχημάτων και των τελών κυκλοφορίας και διοδίων.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θ) Οι δαπάνες υλοποίησης  των προγραμματικών συμβάσεων.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ι) Οι επιχορηγήσεις των ιδρυμάτων και νομικών προσώπων που ιδρύει κάθε περιφέρεια, ως προς το ποσό που αναγράφεται στην οικεία συστατική πράξη.</w:t>
      </w:r>
    </w:p>
    <w:p>
      <w:pPr>
        <w:pStyle w:val="Normal"/>
        <w:spacing w:lineRule="auto" w:line="360"/>
        <w:ind w:left="426" w:hanging="0"/>
        <w:jc w:val="both"/>
        <w:rPr>
          <w:rFonts w:ascii="Book Antiqua" w:hAnsi="Book Antiqua"/>
          <w:sz w:val="24"/>
          <w:szCs w:val="24"/>
        </w:rPr>
      </w:pPr>
      <w:r>
        <w:rPr>
          <w:rFonts w:ascii="Book Antiqua" w:hAnsi="Book Antiqua"/>
          <w:sz w:val="24"/>
          <w:szCs w:val="24"/>
        </w:rPr>
        <w:t>ια) Οι δαπάνες για την εκτέλεση των τελεσίδικων δικαστικών αποφάσεων και για την εξόφληση των εκκαθαρισμένων, σύμφωνα με το διατακτικό τους, οφειλών.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ιβ) Οι εισφορές που επιβάλλονται με ειδικούς νόμους.</w:t>
      </w:r>
    </w:p>
    <w:p>
      <w:pPr>
        <w:pStyle w:val="Normal"/>
        <w:spacing w:lineRule="auto" w:line="360"/>
        <w:ind w:left="426" w:hanging="0"/>
        <w:jc w:val="both"/>
        <w:rPr>
          <w:rFonts w:ascii="Book Antiqua" w:hAnsi="Book Antiqua"/>
          <w:sz w:val="24"/>
          <w:szCs w:val="24"/>
        </w:rPr>
      </w:pPr>
      <w:r>
        <w:rPr>
          <w:rFonts w:ascii="Book Antiqua" w:hAnsi="Book Antiqua"/>
          <w:sz w:val="24"/>
          <w:szCs w:val="24"/>
        </w:rPr>
        <w:t>ιγ) Τα ποσά για την προμήθεια υλικών και τροφίμων για την άσκηση της αρμοδιότητας κοινωνικής προστασίας και αλληλεγγύης.</w:t>
      </w:r>
    </w:p>
    <w:p>
      <w:pPr>
        <w:pStyle w:val="Normal"/>
        <w:spacing w:lineRule="auto" w:line="360"/>
        <w:ind w:left="426" w:hanging="0"/>
        <w:jc w:val="both"/>
        <w:rPr>
          <w:rFonts w:ascii="Book Antiqua" w:hAnsi="Book Antiqua"/>
          <w:sz w:val="24"/>
          <w:szCs w:val="24"/>
        </w:rPr>
      </w:pPr>
      <w:r>
        <w:rPr>
          <w:rFonts w:ascii="Book Antiqua" w:hAnsi="Book Antiqua"/>
          <w:sz w:val="24"/>
          <w:szCs w:val="24"/>
        </w:rPr>
        <w:t>ιδ) Οι δαπάνες που απορρέουν από συμβάσεις ανάθεσης εκτέλεσης έργων, εργασιών, προμηθειών, υπηρεσιών και μελετών.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pPr>
        <w:pStyle w:val="Normal"/>
        <w:spacing w:lineRule="auto" w:line="360"/>
        <w:ind w:left="426" w:hanging="0"/>
        <w:jc w:val="both"/>
        <w:rPr>
          <w:rFonts w:ascii="Book Antiqua" w:hAnsi="Book Antiqua"/>
          <w:sz w:val="24"/>
          <w:szCs w:val="24"/>
        </w:rPr>
      </w:pPr>
      <w:r>
        <w:rPr>
          <w:rFonts w:ascii="Book Antiqua" w:hAnsi="Book Antiqua"/>
          <w:sz w:val="24"/>
          <w:szCs w:val="24"/>
        </w:rPr>
        <w:t>ιστ) Οι δαπάνες που γίνονται για ειδικούς σκοπούς, βάσει διάταξης νόμου, κατόπιν αποφάσεων χρηματοδότησης από την κρατική διοίκηση, καθώς και αυτές που γίνονται στο πλαίσιο της υλοποίησης εγκεκριμένων έργων ή δράσεων, τα οποία συγχρηματοδοτούνται από πόρους της Ευρωπαϊκής Ένωσης.</w:t>
      </w:r>
    </w:p>
    <w:p>
      <w:pPr>
        <w:pStyle w:val="ListParagraph"/>
        <w:numPr>
          <w:ilvl w:val="0"/>
          <w:numId w:val="5"/>
        </w:numPr>
        <w:spacing w:lineRule="auto" w:line="360"/>
        <w:jc w:val="both"/>
        <w:rPr>
          <w:rFonts w:ascii="Book Antiqua" w:hAnsi="Book Antiqua"/>
          <w:sz w:val="24"/>
          <w:szCs w:val="24"/>
        </w:rPr>
      </w:pPr>
      <w:r>
        <w:rPr>
          <w:rFonts w:ascii="Book Antiqua" w:hAnsi="Book Antiqua"/>
          <w:sz w:val="24"/>
          <w:szCs w:val="24"/>
        </w:rPr>
        <w:t>Μετά την πάροδο του τριμήνου απαγορεύεται να γίνει οποιαδήποτε δαπάνη με βάση τον προϋπολογισμό του περασμένου έτους, πλην αυτών που αφορούν: α) τις αποδοχές προσωπικού και την καταβολή των αντίστοιχων ασφαλιστικών εισφορών και β) την καταβολή των   χορηγούμενων από τις περιφέρειες διατροφικού επιδόματος και ανάδοχης οικογένειας».</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188</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Τεχνικού Προγράμματος δήμων – Τροποποίηση άρθρου 208 του ν. 3463/2006</w:t>
      </w:r>
    </w:p>
    <w:p>
      <w:pPr>
        <w:pStyle w:val="Normal"/>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b/>
          <w:sz w:val="24"/>
          <w:szCs w:val="24"/>
        </w:rPr>
        <w:t>7.</w:t>
      </w:r>
      <w:r>
        <w:rPr>
          <w:rFonts w:ascii="Book Antiqua" w:hAnsi="Book Antiqua"/>
          <w:sz w:val="24"/>
          <w:szCs w:val="24"/>
        </w:rPr>
        <w:t xml:space="preserve"> Στο άρθρο 208 του ν. 3463/2006 προστίθεται παράγραφος 5 ως εξής:</w:t>
      </w:r>
    </w:p>
    <w:p>
      <w:pPr>
        <w:pStyle w:val="Normal"/>
        <w:spacing w:lineRule="auto" w:line="360"/>
        <w:jc w:val="both"/>
        <w:rPr>
          <w:rFonts w:ascii="Book Antiqua" w:hAnsi="Book Antiqua"/>
          <w:sz w:val="24"/>
          <w:szCs w:val="24"/>
        </w:rPr>
      </w:pPr>
      <w:r>
        <w:rPr>
          <w:rFonts w:ascii="Book Antiqua" w:hAnsi="Book Antiqua"/>
          <w:sz w:val="24"/>
          <w:szCs w:val="24"/>
        </w:rPr>
        <w:t>«Η συζήτηση και η ψήφιση του Τεχνικού Προγράμματος πραγματοποιείται ανά έργο βάσει των προτάσεων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189</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Τεχνικού Προγράμματος Περιφερειών</w:t>
      </w:r>
    </w:p>
    <w:p>
      <w:pPr>
        <w:pStyle w:val="Normal"/>
        <w:spacing w:lineRule="auto" w:line="360"/>
        <w:jc w:val="both"/>
        <w:rPr>
          <w:rFonts w:ascii="Book Antiqua" w:hAnsi="Book Antiqua"/>
          <w:sz w:val="24"/>
          <w:szCs w:val="24"/>
        </w:rPr>
      </w:pPr>
      <w:r>
        <w:rPr>
          <w:rFonts w:ascii="Book Antiqua" w:hAnsi="Book Antiqua"/>
          <w:sz w:val="24"/>
          <w:szCs w:val="24"/>
        </w:rPr>
        <w:t>«Η συζήτηση και η ψήφιση του Τεχνικού Προγράμματος των Περιφερειών πραγματοποιείται ανά έργο βάσει των προτάσεων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190</w:t>
      </w:r>
    </w:p>
    <w:p>
      <w:pPr>
        <w:pStyle w:val="Normal"/>
        <w:spacing w:lineRule="auto" w:line="360"/>
        <w:jc w:val="center"/>
        <w:rPr>
          <w:rFonts w:ascii="Book Antiqua" w:hAnsi="Book Antiqua"/>
          <w:b/>
          <w:b/>
          <w:sz w:val="24"/>
          <w:szCs w:val="24"/>
        </w:rPr>
      </w:pPr>
      <w:r>
        <w:rPr>
          <w:rFonts w:ascii="Book Antiqua" w:hAnsi="Book Antiqua"/>
          <w:b/>
          <w:sz w:val="24"/>
          <w:szCs w:val="24"/>
        </w:rPr>
        <w:t>Διευκόλυνση της είσπραξης ιδίων εσόδων των Ο.Τ.Α.</w:t>
      </w:r>
    </w:p>
    <w:p>
      <w:pPr>
        <w:pStyle w:val="Normal"/>
        <w:spacing w:lineRule="auto" w:line="360" w:before="0" w:after="0"/>
        <w:jc w:val="both"/>
        <w:rPr>
          <w:rFonts w:ascii="Book Antiqua" w:hAnsi="Book Antiqua" w:eastAsia="Times New Roman"/>
          <w:sz w:val="24"/>
          <w:szCs w:val="24"/>
          <w:lang w:eastAsia="el-GR"/>
        </w:rPr>
      </w:pPr>
      <w:r>
        <w:rPr>
          <w:rFonts w:ascii="Book Antiqua" w:hAnsi="Book Antiqua"/>
          <w:sz w:val="24"/>
          <w:szCs w:val="24"/>
        </w:rPr>
        <w:t xml:space="preserve">Στο άρθρο 17 του ν. 2130/1993 προστίθεται παράγραφος 9 ως εξής:   </w:t>
      </w:r>
    </w:p>
    <w:p>
      <w:pPr>
        <w:pStyle w:val="Normal"/>
        <w:spacing w:lineRule="auto" w:line="360"/>
        <w:jc w:val="both"/>
        <w:rPr>
          <w:rFonts w:ascii="Book Antiqua" w:hAnsi="Book Antiqua"/>
          <w:sz w:val="24"/>
          <w:szCs w:val="24"/>
        </w:rPr>
      </w:pPr>
      <w:r>
        <w:rPr>
          <w:rFonts w:ascii="Book Antiqua" w:hAnsi="Book Antiqua"/>
          <w:sz w:val="24"/>
          <w:szCs w:val="24"/>
        </w:rPr>
        <w:t>«Οι υπόχρεοι σε καταβολή τέλους παρεπιδημούντων ή τέλους επί των ακαθαρίστων εσόδων, εφόσον υπόκεινται σε Φ.Π.Α., δύνανται να υποβάλλουν την προβλεπόμενη από την κείμενη νομοθεσία δήλωση, μέσω της ηλεκτρονικής εφαρμογής «TAXISnet» του Ολοκληρωμένου Πληροφοριακού Συστήματος της Ανεξάρτητης Αρχής Δημοσίων Εσόδων, ταυτόχρονα με την υποβολή δήλωσης Φ.Π.Α. Στην περίπτωση αυτή, η βεβαίωση των τελών και η κοινοποίησή τους στον οικείο δήμο γίνεται αυτόματα, μέσω της ίδιας ηλεκτρονικής εφαρμογής. 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εντός τριών (3) μηνών από την έναρξη ισχύος του παρόντος»</w:t>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191</w:t>
      </w:r>
    </w:p>
    <w:p>
      <w:pPr>
        <w:pStyle w:val="Normal"/>
        <w:spacing w:lineRule="auto" w:line="360"/>
        <w:jc w:val="center"/>
        <w:rPr>
          <w:rFonts w:ascii="Book Antiqua" w:hAnsi="Book Antiqua"/>
          <w:b/>
          <w:b/>
          <w:sz w:val="24"/>
          <w:szCs w:val="24"/>
        </w:rPr>
      </w:pPr>
      <w:r>
        <w:rPr>
          <w:rFonts w:ascii="Book Antiqua" w:hAnsi="Book Antiqua"/>
          <w:b/>
          <w:sz w:val="24"/>
          <w:szCs w:val="24"/>
        </w:rPr>
        <w:t>Ηλεκτρονική Βάση Καταγραφής Ακίνητης Περιουσίας</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Οι Περιφέρειες, οι Δήμοι και τα νομικά τους πρόσωπα δημοσίου δικαίου καταχωρούν στη βάση δεδομένων της παρ. 1 το σύνολο των στοιχείων των ακινήτων τους και τις τυχόν μεταβολές αυτών.</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Οι Δήμοι είναι υπεύθυνοι για τη διασφάλιση της καταχώρισης και τακτικής ενημέρωσης τυχόν μεταβολών στη βάση δεδομένων της παρ. 1.</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Υφιστάμενες βάσεις δεδομένων με στοιχεία της ακίνητης περιουσίας των ΟΤΑ, ιδίως δε εκείνη που έχει δημιουργηθεί και συντηρείται από την Ελληνική Εταιρεία Τοπικής Ανάπτυξης και Αυτοδιοίκησης Α.Ε. διαβιβάζονται, εντός τριών (3) μηνών από τη δημοσίευση του παρόντος, στο Υπουργείο Εσωτερικών.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192</w:t>
      </w:r>
    </w:p>
    <w:p>
      <w:pPr>
        <w:pStyle w:val="Normal"/>
        <w:spacing w:lineRule="auto" w:line="360"/>
        <w:jc w:val="both"/>
        <w:rPr>
          <w:rFonts w:ascii="Book Antiqua" w:hAnsi="Book Antiqua"/>
          <w:b/>
          <w:b/>
          <w:i/>
          <w:i/>
          <w:sz w:val="24"/>
          <w:szCs w:val="24"/>
        </w:rPr>
      </w:pPr>
      <w:r>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Συστήνεται στο Υπουργείο Εσωτερικών Επιτροπή, με σκοπό την εκπόνηση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κτηνοτροφικές εκμεταλλεύσεις, ίδρυση και επέκταση σταυλικών εγκαταστάσεων, εγκαταστάσεων θερμοκηπίων και μονάδων στους τομείς αλιείας.</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συγκροτείται με κοινή απόφαση των Υπουργών Εσωτερικών και Αγροτικής Ανάπτυξης &amp; Τροφίμων και του κατά περίπτωση συναρμόδιου Υπουργού και απαρτίζεται από στελέχη των αρμόδιων υπηρεσιών των ανωτέρω Υπουργείων.</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οφείλει να ολοκληρώσει το αναφερόμενο στην παρ. 1 έργο της εντός ενός (1) έτους από τη συγκρότησή της. Η ως άνω προθεσμία μπορεί να παραταθεί με κοινή απόφαση των Υπουργών της παρ. 2.</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συνεδριάζει εντός και εκτός ωραρίου λειτουργίας των υπηρεσιών των Υπουργείων και στα μέλη τους, καθώς και στους υπαλλήλους που ορίζονται για την παροχή γραμματειακής υποστήριξης, καταβάλλεται αποζημίωση για τη συμμετοχή τους στις συνεδριάσεις αυτών, σύμφωνα με τα οριζόμενα στο άρθρο 21 του ν. 4354/2015 (Α’ 176), όπως εκάστοτε ισχύει.</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193</w:t>
      </w:r>
    </w:p>
    <w:p>
      <w:pPr>
        <w:pStyle w:val="Normal"/>
        <w:spacing w:lineRule="auto" w:line="360"/>
        <w:jc w:val="center"/>
        <w:rPr>
          <w:rFonts w:ascii="Book Antiqua" w:hAnsi="Book Antiqua"/>
          <w:b/>
          <w:b/>
          <w:sz w:val="24"/>
          <w:szCs w:val="24"/>
        </w:rPr>
      </w:pPr>
      <w:r>
        <w:rPr>
          <w:rFonts w:ascii="Book Antiqua" w:hAnsi="Book Antiqua"/>
          <w:b/>
          <w:sz w:val="24"/>
          <w:szCs w:val="24"/>
        </w:rPr>
        <w:t>Εκμίσθωση ακινήτων των Δήμων – Αντικατάσταση άρθρου 192 του ν. 3463/2006</w:t>
      </w:r>
    </w:p>
    <w:p>
      <w:pPr>
        <w:pStyle w:val="Normal"/>
        <w:spacing w:lineRule="auto" w:line="360"/>
        <w:jc w:val="both"/>
        <w:rPr>
          <w:rFonts w:ascii="Book Antiqua" w:hAnsi="Book Antiqua"/>
          <w:b/>
          <w:b/>
          <w:sz w:val="24"/>
          <w:szCs w:val="24"/>
        </w:rPr>
      </w:pPr>
      <w:r>
        <w:rPr>
          <w:rFonts w:ascii="Book Antiqua" w:hAnsi="Book Antiqua"/>
          <w:sz w:val="24"/>
          <w:szCs w:val="24"/>
        </w:rPr>
        <w:t>Το άρθρο 192 του ν. 3463/2006 αντικαθίσταται ως εξής:</w:t>
      </w:r>
    </w:p>
    <w:p>
      <w:pPr>
        <w:pStyle w:val="Normal"/>
        <w:spacing w:lineRule="auto" w:line="360"/>
        <w:jc w:val="center"/>
        <w:rPr>
          <w:rFonts w:ascii="Book Antiqua" w:hAnsi="Book Antiqua"/>
          <w:sz w:val="24"/>
          <w:szCs w:val="24"/>
        </w:rPr>
      </w:pPr>
      <w:r>
        <w:rPr>
          <w:rFonts w:ascii="Book Antiqua" w:hAnsi="Book Antiqua"/>
          <w:sz w:val="24"/>
          <w:szCs w:val="24"/>
        </w:rPr>
        <w:t>«Εκμίσθωση ακινήτων των Δήμων</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Η εκμίσθωση ακινήτων των Δήμων γίνεται με δημοπρασία. Η δημοπρασία επαναλαμβάνεται υποχρεωτικά για μία φορά, εάν δεν παρουσιάστηκε κανένας πλειοδότης.</w:t>
      </w:r>
    </w:p>
    <w:p>
      <w:pPr>
        <w:pStyle w:val="Normal"/>
        <w:spacing w:lineRule="auto" w:line="360"/>
        <w:ind w:left="709" w:hanging="0"/>
        <w:jc w:val="both"/>
        <w:rPr>
          <w:rFonts w:ascii="Book Antiqua" w:hAnsi="Book Antiqua"/>
          <w:sz w:val="24"/>
          <w:szCs w:val="24"/>
        </w:rPr>
      </w:pPr>
      <w:r>
        <w:rPr>
          <w:rFonts w:ascii="Book Antiqua" w:hAnsi="Book Antiqua"/>
          <w:sz w:val="24"/>
          <w:szCs w:val="24"/>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Κατ` εξαίρεση, με απόφαση του δημοτικού συμβουλίου, επιτρέπεται η εκμίσθωση χωρίς δημοπρασία:</w:t>
      </w:r>
    </w:p>
    <w:p>
      <w:pPr>
        <w:pStyle w:val="Normal"/>
        <w:spacing w:lineRule="auto" w:line="360"/>
        <w:ind w:left="709" w:hanging="0"/>
        <w:jc w:val="both"/>
        <w:rPr>
          <w:rFonts w:ascii="Book Antiqua" w:hAnsi="Book Antiqua"/>
          <w:sz w:val="24"/>
          <w:szCs w:val="24"/>
        </w:rPr>
      </w:pPr>
      <w:r>
        <w:rPr>
          <w:rFonts w:ascii="Book Antiqua" w:hAnsi="Book Antiqua"/>
          <w:sz w:val="24"/>
          <w:szCs w:val="24"/>
        </w:rPr>
        <w:t>α) όταν η ετήσια πρόσοδος του υπό εκμίσθωση ακινήτου δεν υπερβαίνει το ποσό των 2.000 ευρώ.</w:t>
      </w:r>
    </w:p>
    <w:p>
      <w:pPr>
        <w:pStyle w:val="Normal"/>
        <w:spacing w:lineRule="auto" w:line="360"/>
        <w:ind w:left="709" w:hanging="0"/>
        <w:jc w:val="both"/>
        <w:rPr>
          <w:rFonts w:ascii="Book Antiqua" w:hAnsi="Book Antiqua"/>
          <w:sz w:val="24"/>
          <w:szCs w:val="24"/>
        </w:rPr>
      </w:pPr>
      <w:r>
        <w:rPr>
          <w:rFonts w:ascii="Book Antiqua" w:hAnsi="Book Antiqua"/>
          <w:sz w:val="24"/>
          <w:szCs w:val="24"/>
        </w:rPr>
        <w:t>β) όταν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και σε συνεταιρισμούς για την ικανοποίηση των αναγκών τους. Για την εκμίσθωση σε συνεταιρισμούς εφαρμόζονται αναλογικά οι διατάξεις της παραγράφου 9 του άρθρου 186.</w:t>
      </w:r>
    </w:p>
    <w:p>
      <w:pPr>
        <w:pStyle w:val="Normal"/>
        <w:spacing w:lineRule="auto" w:line="360"/>
        <w:ind w:left="709" w:hanging="0"/>
        <w:jc w:val="both"/>
        <w:rPr>
          <w:rFonts w:ascii="Book Antiqua" w:hAnsi="Book Antiqua"/>
          <w:sz w:val="24"/>
          <w:szCs w:val="24"/>
        </w:rPr>
      </w:pPr>
      <w:r>
        <w:rPr>
          <w:rFonts w:ascii="Book Antiqua" w:hAnsi="Book Antiqua"/>
          <w:sz w:val="24"/>
          <w:szCs w:val="24"/>
        </w:rPr>
        <w:t>γ) για χρονικό διάστημα που δεν υπερβαίνει τους τρεις (3) μήνες, θέατρα και κινηματοθέατρα ή άλλους χώρους, για επιστημονικούς και καλλιτεχνικούς σκοπούς, αφού το δημοτικό συμβούλιο εκτιμήσει την ποιότητα των εκδηλώσεων που θα πραγματοποιηθούν.</w:t>
      </w:r>
    </w:p>
    <w:p>
      <w:pPr>
        <w:pStyle w:val="Normal"/>
        <w:spacing w:lineRule="auto" w:line="360"/>
        <w:ind w:left="709" w:hanging="0"/>
        <w:jc w:val="both"/>
        <w:rPr>
          <w:rFonts w:ascii="Book Antiqua" w:hAnsi="Book Antiqua"/>
          <w:sz w:val="24"/>
          <w:szCs w:val="24"/>
        </w:rPr>
      </w:pPr>
      <w:r>
        <w:rPr>
          <w:rFonts w:ascii="Book Antiqua" w:hAnsi="Book Antiqua"/>
          <w:sz w:val="24"/>
          <w:szCs w:val="24"/>
        </w:rPr>
        <w:t>Στην περίπτωση (β), η απόφαση του δημοτικού συμβουλίου λαμβάνεται με την απόλυτη πλειοψηφία του συνολικού αριθμού των μελών του.</w:t>
      </w:r>
    </w:p>
    <w:p>
      <w:pPr>
        <w:pStyle w:val="Normal"/>
        <w:spacing w:lineRule="auto" w:line="360"/>
        <w:ind w:left="709" w:hanging="0"/>
        <w:jc w:val="both"/>
        <w:rPr>
          <w:rFonts w:ascii="Book Antiqua" w:hAnsi="Book Antiqua"/>
          <w:sz w:val="24"/>
          <w:szCs w:val="24"/>
        </w:rPr>
      </w:pPr>
      <w:r>
        <w:rPr>
          <w:rFonts w:ascii="Book Antiqua" w:hAnsi="Book Antiqua"/>
          <w:sz w:val="24"/>
          <w:szCs w:val="24"/>
        </w:rPr>
        <w:t>Το μίσθωμα των ακινήτων των περιπτώσεων (α) και (β) καθορίζεται από την επιτροπή της παραγράφου 5 του άρθρου 186.</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pPr>
        <w:pStyle w:val="Normal"/>
        <w:spacing w:lineRule="auto" w:line="360"/>
        <w:ind w:left="709" w:hanging="0"/>
        <w:jc w:val="both"/>
        <w:rPr>
          <w:rFonts w:ascii="Book Antiqua" w:hAnsi="Book Antiqua"/>
          <w:sz w:val="24"/>
          <w:szCs w:val="24"/>
        </w:rPr>
      </w:pPr>
      <w:r>
        <w:rPr>
          <w:rFonts w:ascii="Book Antiqua" w:hAnsi="Book Antiqua"/>
          <w:sz w:val="24"/>
          <w:szCs w:val="24"/>
        </w:rPr>
        <w:t>α) δημοτικών ακινήτων για διάρκεια μέχρι ενενήντα εννέα (99) έτη, με σκοπό την ανάπτυξη τουριστικών δραστηριοτήτων που διέπονται από τις διατάξεις του ν. 2160/1993, όπως ισχύει,</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 </w:t>
      </w:r>
    </w:p>
    <w:p>
      <w:pPr>
        <w:pStyle w:val="Normal"/>
        <w:spacing w:lineRule="auto" w:line="360"/>
        <w:ind w:left="709" w:hanging="0"/>
        <w:jc w:val="both"/>
        <w:rPr>
          <w:rFonts w:ascii="Book Antiqua" w:hAnsi="Book Antiqua"/>
          <w:sz w:val="24"/>
          <w:szCs w:val="24"/>
        </w:rPr>
      </w:pPr>
      <w:r>
        <w:rPr>
          <w:rFonts w:ascii="Book Antiqua" w:hAnsi="Book Antiqua"/>
          <w:sz w:val="24"/>
          <w:szCs w:val="24"/>
        </w:rPr>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 </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10% αυτών.</w:t>
      </w:r>
    </w:p>
    <w:p>
      <w:pPr>
        <w:pStyle w:val="Normal"/>
        <w:spacing w:lineRule="auto" w:line="360"/>
        <w:ind w:left="709" w:hanging="0"/>
        <w:jc w:val="both"/>
        <w:rPr>
          <w:rFonts w:ascii="Book Antiqua" w:hAnsi="Book Antiqua"/>
          <w:sz w:val="24"/>
          <w:szCs w:val="24"/>
        </w:rPr>
      </w:pPr>
      <w:r>
        <w:rPr>
          <w:rFonts w:ascii="Book Antiqua" w:hAnsi="Book Antiqua"/>
          <w:sz w:val="24"/>
          <w:szCs w:val="24"/>
        </w:rPr>
        <w:t>Κάθε κτήριο και κάθε άλλη μόνιμη εγκατάσταση που θα πραγματοποιηθεί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ολόκληρον έναντι του Δήμου, βάσει των όρων της κύριας σύμβασης μίσθωσης.</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Στην περίπτωση εκποίησης ή ιδιόχρησης μισθωμένου ακινήτου, η μίσθωση λύεται αζημίως για το Δήμο και ο μισθωτής υποχρεώνεται να παραδώσει τη χρήση του μίσθιου μετά την παρέλευση εύλογης προθεσμίας από την έγγραφη ειδοποίησή του και πάντως όχι αργότερα από την παρέλευση τριμήνου από αυτήν. Η μονομερής λύση της σύμβασης επιφέρει την απόσβεση κάθε δικαιώματος που έχει συσταθεί από τον μισθωτή υπέρ τρίτου έναντι του Δήμου. Αντίθετη συμφωνία δύναται να προβλεφθεί ρητώς στη σχετική διακήρυξη και στη σύμβαση, ιδίως στις μισθώσεις της παραγράφου 4».</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194</w:t>
      </w:r>
    </w:p>
    <w:p>
      <w:pPr>
        <w:pStyle w:val="Normal"/>
        <w:spacing w:lineRule="auto" w:line="360"/>
        <w:jc w:val="center"/>
        <w:rPr>
          <w:rFonts w:ascii="Book Antiqua" w:hAnsi="Book Antiqua"/>
          <w:b/>
          <w:b/>
          <w:sz w:val="24"/>
          <w:szCs w:val="24"/>
        </w:rPr>
      </w:pPr>
      <w:r>
        <w:rPr>
          <w:rFonts w:ascii="Book Antiqua" w:hAnsi="Book Antiqua"/>
          <w:b/>
          <w:sz w:val="24"/>
          <w:szCs w:val="24"/>
        </w:rPr>
        <w:t>Παρατηρητήριο Οικονομικής Αυτοτέλειας των Οργανισμών Τοπικής Αυτοδιοίκησης – Τροποποίηση άρθρου 4 του ν. 4111/2013.</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lang w:val="en-US"/>
        </w:rPr>
        <w:t>To</w:t>
      </w:r>
      <w:r>
        <w:rPr>
          <w:rFonts w:eastAsia="Calibri" w:cs="" w:ascii="Book Antiqua" w:hAnsi="Book Antiqua" w:cstheme="minorBidi" w:eastAsiaTheme="minorHAnsi"/>
          <w:sz w:val="24"/>
          <w:szCs w:val="24"/>
        </w:rPr>
        <w:t xml:space="preserve"> άρθρο 4 του ν. 4111/2013 (Α’ 18) αντικαθίσταται ως εξής:</w:t>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«Παρατηρητήριο Οικονομικής Αυτοτέλειας Οργανισμών Τοπικής Αυτοδιοίκησης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Συνιστάται στο Υπουργείο Εσωτερικών Παρατηρητήριο Οικονομικής Αυτοτέλειας των Ο.Τ.Α. (εφεξής «Παρατηρητήριο»).</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Σκοπός του Παρατηρητηρίου είναι η διαχρονική παρακολούθηση των οικονομικών μεγεθών της Τοπικής Αυτοδιοίκησης, ως Υποτομέα Ο.Τ.Α., κατά την έννοια του άρθρου 14 παρ. 1 περ. β και δ του ν. 4270/2014 (Α’ 143), η μέριμνα για τον εξορθολογισμό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Έργο του Παρατηρητηρίου είναι:</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Η συγκέντρωση των οικονομικών στοιχείων των Ο.Τ.Α. και των νομικών τους προσώπων και η παρακολούθηση των δημοσιονομικών και εν γένει των οικονομικών μεγεθών τους, σε συνεργασία με τις αρμόδιες για την εποπτεία τους Αρχές και τις αρμόδιες υπηρεσίες του Υπουργείου Εσωτερικών.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Η κατάρτιση περιοδικών εκθέσεων σχετικά με την πορεία της οικονομικής και δημοσιονομικής κατάστασης των Ο.Τ.Α. και των νομικών τους προσώπων, καθώς και η υποβολή εισηγήσεων προς τα καθ’ ύλην αρμόδια όργανα της Κεντρικής Διοίκησης για τη χάραξη πολιτικών και τη λήψη μέτρων που να διασφαλίζουν την οικονομική βιωσιμότητα των Ο.Τ.Α.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γ) Η μέριμνα για την κατάρτιση από τους Ο.Τ.Α. και τα νομικά τους πρόσωπα που εντάσσονται στο Μητρώο Φορέων Γενικής Κυβέρνησης, ρεαλιστικών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δ) Η παρακολούθηση της ορθής εκτέλεσης των προϋπολογισμών των ως άνω φορέων σε τριμηνιαία βάση.</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ε)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συγκροτείται με απόφαση του Υπουργού Εσωτερικών και αποτελείται από έναν Σύμβουλο του Ελεγκτικού Συνεδρίου ως Πρόεδρο, ο οποίος ορίζεται σύμφωνα με τις διατάξεις του Κώδικα Δικαστικών Λειτουργών, από το Γενικό Διευθυντή Οικονομικών Υπηρεσιών και Διοικητικής Υποστήριξης του Υπουργείου Εσωτερικών, από το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 τον Προϊστάμενο του Τμήματος Παρακολούθησης και Επεξεργασίας Οικονομικών Στοιχείων Τοπικής Αυτοδιοίκησης του ίδιου Υπουργείου, από τον Προϊστάμενο του Τμήματος Επιχορηγήσεων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Τις συνεδριάσεις του Παρατηρητηρίου παρακολουθεί ως παρατηρητής χωρίς δικαίωμα ψήφου ένας (1) εκπρόσωπος της Διεύθυνσης Προγραμματισμού, Δημοσιονομικών Στοιχείων και Μεθοδολογίας του Γενικού Λογιστηρίου του Κράτους, ο οποίος ορίζεται από τον οικείο Υπουργό. Οι ανωτέρω ορίζονται με τους αναπληρωτές τους.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Οι 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Ως τόπος διενέργειας των συνεδριάσεων ορίζεται το κεντρικό κατάστημα του Υπουργείου Εσωτερικών και Διοικητικής Ανασυγκρότησης.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Υπηρεσιών και Διοικητικής Υποστήριξης του Υπουργείου Εσωτερικών, από το Δημόσιο, τους Ο.Τ.Α., τα νομικά πρόσωπα δημοσίου δικαίου και τους φορείς του ευρύτερου δημόσιου τομέα.</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Οι περιπτώσεις 1-7 της υποπαραγράφου ΣΤ3 της παραγράφου ΣΤ` του άρθρου πρώτου του ν. 4093/2012 (Α` 222) καταργούνται».</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195</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 xml:space="preserve">Παρακολούθηση κατάρτισης και εκτέλεσης προϋπολογισμών Ο.Τ.Α. </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 Α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«Παρακολούθηση κατάρτισης και εκτέλεση προϋπολογισμών ΟΤΑ</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Σε περίπτωση που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ή συστάσεις για τη ρεαλιστικότερη αποτύπωση των στόχων. Το Παρατηρητήριο, κατά τη διατύπωση της γνώμης προς τον ΟΤΑ, εξετάζει, μεταξύ άλλων, παραμέτρους που μπορεί να επηρεάζουν την βιωσιμότητα των ΟΤΑ, σύμφωνα με την επόμενη παράγραφο.</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Κατά τη διαδικασία διατύπωσης της γνώμης του Παρατηρητηρίου κατά την παρ. 1, λαμβάνονται υπόψη ενδεικτικά και ανάλογα με την περίπτωση οι εξής παράμετροι που μπορεί να επηρεάζουν την βιωσιμότητα των ΟΤΑ. :</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α) οι αμοιβές του προσωπικού του φορέα ως ποσοστό επί των Κεντρικών Αυτοτελών Πόρων (Κ.Α.Π.), προκειμένου για Δήμους και Περιφέρειες, ή επί της τακτικής επιχορήγησης του νομικού προσώπου από τον οικείο Ο.Τ.Α., προκειμένου για τα νομικά πρόσωπα αυτών, αντίστοιχα,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β) οι ετήσιες υποχρεώσεις για την εξυπηρέτηση του συνόλου των δανειακών υποχρεώσεων του φορέα ως ποσοστό επί των Κ.Α.Π., για τους Δήμους και τις Περιφέρειες, ή επί της τακτικής επιχορήγησης του νομικού προσώπου από τον οικείο Ο.Τ.Α. για τα νομικά πρόσωπα αυτών, αντίστοιχα,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γ) τα ίδια έσοδα του φορέα ως ποσοστό των συνολικών εσόδων του,</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δ) ο ρυθμός μεταβολής των συνολικών δανειακών υποχρεώσεων του φορέα και</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ε) ο ρυθμός μεταβολής των συνολικών απλήρωτων υποχρεώσεων του φορέα.</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ποσοστό αρνητικής απόκλισης από τους τριμηνιαίους δημοσιονομικούς στόχους της παρ. 1  μπορεί να αναπροσαρμόζεται με κοινή απόφαση των Υπουργών Εσωτερικών και Οικονομικών, η οποία εκδίδεται ως τον Νοέμβριο κάθε έτους και ισχύει για το επόμενο οικονομικό έτος, κατόπιν πρότασης του Παρατηρητηρίου και απλής γνώμης της Κ.Ε.Δ.Ε. και της ΕΝ.Π.Ε.</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τον έλεγχο του βαθμού επίτευξης των δημοσιονομικών στόχων, τον εντοπισμό αποκλίσεων αρνητικού χαρακτήρα και την αξιολόγηση της πορείας εκτέλεσης του προϋπολογισμού λαμβάνονται υπόψη κυρίως οι  παρακάτω παράμετροι, καθώς και τα υπόλοιπα οικονομικά μεγέθη όπως αυτά αποτυπώνονται στο, προβλεπόμενο στο άρθρο 4Ε, Ο.Π.Δ.:</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α) η ισοσκέλιση του προϋπολογισμού και της εκτέλεσής του κατά τη διάρκεια του έτους και ετησίως, υπό την έννοια ότι τα συνολικά ετήσια έξοδα πρέπει να είναι μικρότερα ή ίσα των εσόδων,</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β) η πορεία είσπραξης των εσόδων, πλην των μεταβιβάσεων από τον κρατικό προϋπολογισμό, και το επίπεδο των εξόδων, πλην των αμοιβών του προσωπικού και</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 η μεταβολή των απλήρωτων υποχρεώσεων του Ο.Τ.Α. ή του νομικού του προσώπου έναντι αυτών της 31/12 του προηγούμενου οικονομικού έτους, εφόσον σημειώνεται αύξηση.</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τον εντοπισμό των αρνητικών αποκλίσεων, η πορεία είσπραξης των εσόδων εξετάζεται σε σχέση με το βαθμό προσαρμογής των εξόδων για την αντιστάθμιση της πορείας αυτής, καθώς και με την εξέλιξη των απλήρωτων υποχρεώσεων  σε σχέση με το κλείσιμο του προηγούμενου έτους.</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Κατόπιν σχετικής δήλωσης στο Παρατηρητήριο από Ο.Τ.Α. ή νομικό του πρόσωπο, ότι αδυνατεί να ισοσκελίσει τον προϋπολογισμό του, ή εφόσον το ίδιο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κατόπιν αναμόρφωσής του ή ότι  ένας Ο.Τ.Α. ή 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αυτή ορίζει, περαιτέρω αξιολόγηση των οικονομικών στοιχείων τους και σύνταξη έκθεσης, στην οποία καταγράφονται αναλυτικά:</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οι λοιπές βραχυπρόθεσμες και μακροπρόθεσμες υποχρεώσεις, με διακριτή αναφορά στις ληξιπρόθεσμες, καθώς και τις διεκδικήσεις τρίτων,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γ) οι υποχρεώσεις και απαιτήσεις που μπορεί να προκύψουν από δίκες που βρίσκονται σε εξέλιξη και από τυχόν αναδοχή οφειλών νομικών του προσώπων,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δ) οι λοιπές εν γένει απαιτήσεις,</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ε) εκτίμηση της δυνατότητας εξυπηρέτησης των υποχρεώσεων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στ) εκτίμηση του ποσού χρηματοδότησης που απαιτείται για την ισοσκέλιση του προϋπολογισμού του φορέα, 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ενδιαφερόμενο Ο.Τ.Α. σύμφωνα με τη διαδικασία του άρθρου 43 του ν. 4325/2015 (Α΄ 47),</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 xml:space="preserve">ζ) καταγραφή των μέτρων που πρέπει κατά την κρίση του φορέα να ληφθούν, και </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η) οποιοδήποτε άλλο στοιχείο κρίνεται από το Παρατηρητήριο ή από τον φορέα αναγκαίο να αξιολογηθεί.</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την παραπάνω έκθεση και τα προτεινόμενα και τυχόν εφαρμοζόμενα από τον Ο.Τ.Α. ή το νομικό του πρόσωπο για την αντιμετώπιση της υπερχρέωσής του μέτρα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ν.4325/2015 (Α΄47), με απόφαση του οικείου δημοτικού, περιφερειακού ή διοικητικού συμβουλίου που λαμβάνεται με την απόλυτη πλειοψηφία του συνόλου των μελών του, η οποία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 προτείνει και πραγματοποιεί τις αναγκαίες για τον εξορθολογισμό της οικονομικής του διαχείρισης παρεμβάσεις.</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την αποτελεσματικότητα των προτεινόμενων με την απόφαση της προηγούμενης παραγράφου παρεμβάσεων και σε περίπτωση που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196</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Λογαριασμός Οικονομικής Ενίσχυσης Ο.Τ.Α.</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4Β ως εξής:</w:t>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«Λογαριασμός Οικονομικής Ενίσχυσης Ο.Τ.Α.</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Συστήνεται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χρηματοδοτείται σε ετήσια βάση από τους Κεντρικούς Αυτοτελείς Πόρους (Κ.Α.Π.) και συγκεκριμένα σε ποσοστό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Εξυγίανσης των Ο.Τ.Α.» που είχε συσταθεί με το άρθρο 76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Με κοινή απόφαση των Υπουργών Εσωτερικών και Οικονομικών μπορεί να ρυθμίζονται ζητήματα λειτουργίας του Λογαριασμού, καθώς και κάθε αναγκαίο θέμα για την εφαρμογή του παρόντος.»</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197</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Προγραμματική Συμφωνία Οικονομικής Υποστήριξης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 Γ ως εξής:</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w:t>
      </w:r>
      <w:r>
        <w:rPr>
          <w:rFonts w:eastAsia="Calibri" w:cs="" w:ascii="Book Antiqua" w:hAnsi="Book Antiqua" w:cstheme="minorBidi" w:eastAsiaTheme="minorHAnsi"/>
          <w:sz w:val="24"/>
          <w:szCs w:val="24"/>
        </w:rPr>
        <w:t>Προγραμματική Συμφωνία Οικονομικής Υποστήριξης</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Οι ανωτέρω Προγραμματικές Συμφωνίες αναρτώνται υποχρεωτικά, με ποινή ακυρότητας, στη «Διαύγεια» του Υπουργείου Εσωτερικών και του οικείου Ο.Τ.Α. ή νομικού προσώπου και δημοσιεύονται σε περίληψη στην Εφημερίδα της Κυβερνήσεως με επιμέλεια του Υπουργείου, υπόκεινται δε στον προσυμβατικό έλεγχο του Ελεγκτικού Συνεδρίου, σύμφωνα με τη σχετική νομοθεσία.»</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198</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Εκθέσεις του Παρατηρητηρίου</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4Δ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«Εκθέσεις του Παρατηρητηρίου </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Άρθρο 199</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Ολοκληρωμένο Πλαίσιο Δράσης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4Ε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«Ολοκληρωμένο Πλαίσιο Δράσης</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περιεχόμενο του καθορίζεται με την κοινή υπουργική απόφαση της παραγράφου 3.</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τις προβλέψεις που παρουσιάζουν οι Ο.Τ.Α. στο Ο.Π.Δ. βάσει δεικτών και διατυπώνει προτάσεις τροποποίησης τους, όπου αυτό κρίνεται αναγκαίο και ιδίως όταν τα έσοδα εμφανίζονται υπερεκτιμημένα και μη ρεαλιστικά.</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απόφαση του Υπουργού Εσωτερικών μπορεί να μετονομάζεται το «Ολοκληρωμένο Πλαίσιο Δράσης», καθώς και  να ρυθμίζεται κάθε αναγκαίο θέμα για την εφαρμογή του άρθρου αυτού».</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Άρθρο 200</w:t>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Δανεισμός των ΟΤΑ για δράσεις βελτίωσης της ενεργειακής αποδοτικότητας</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Είναι δυνατή η συνομολόγηση δανείων από δήμους και περιφέρειες,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 xml:space="preserve">Τα ανωτέρω προκύπτουν από σχετική μελέτη, η οποία αξιολογείται και εγκρίνεται από το ενδιαφερόμενο για τη χορήγηση του δανείου πιστωτικό ίδρυμα ή χρηματοπιστωτικό οργανισμό. Με απόφαση του Υπουργού Εσωτερικών δύναται να ρυθμίζεται κάθε αναγκαίο ζήτημα για την εφαρμογή της παρούσας.   </w:t>
      </w:r>
    </w:p>
    <w:p>
      <w:pPr>
        <w:pStyle w:val="Normal"/>
        <w:spacing w:lineRule="auto" w:line="360"/>
        <w:jc w:val="both"/>
        <w:rPr>
          <w:rFonts w:ascii="Book Antiqua" w:hAnsi="Book Antiqua" w:cs="Courier New"/>
          <w:b/>
          <w:b/>
          <w:sz w:val="24"/>
          <w:szCs w:val="24"/>
        </w:rPr>
      </w:pPr>
      <w:r>
        <w:rPr>
          <w:rFonts w:cs="Courier New" w:ascii="Book Antiqua" w:hAnsi="Book Antiqua"/>
          <w:b/>
          <w:sz w:val="24"/>
          <w:szCs w:val="24"/>
        </w:rPr>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Άρθρο 201</w:t>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Καταργούμενες διατάξεις</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Από τη δημοσίευση του παρόντος καταργούνται οι διατάξεις των παρ. 2 έως και 10 του άρθρου 174 του ν. 4270/2014, όπως έχουν τροποποιηθεί και ισχύουν και του άρθρου 149 του ν.  4270/2014, όπως έχουν τροποποιηθεί και ισχύουν.</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ΤΜΗΜΑ Ε’</w:t>
      </w:r>
    </w:p>
    <w:p>
      <w:pPr>
        <w:pStyle w:val="Normal"/>
        <w:spacing w:lineRule="auto" w:line="360"/>
        <w:jc w:val="center"/>
        <w:rPr>
          <w:rFonts w:ascii="Book Antiqua" w:hAnsi="Book Antiqua"/>
          <w:b/>
          <w:b/>
          <w:sz w:val="24"/>
          <w:szCs w:val="24"/>
        </w:rPr>
      </w:pPr>
      <w:r>
        <w:rPr>
          <w:rFonts w:ascii="Book Antiqua" w:hAnsi="Book Antiqua"/>
          <w:b/>
          <w:sz w:val="24"/>
          <w:szCs w:val="24"/>
        </w:rPr>
        <w:t>Άρθρο 202</w:t>
      </w:r>
    </w:p>
    <w:p>
      <w:pPr>
        <w:pStyle w:val="Normal"/>
        <w:spacing w:lineRule="auto" w:line="360"/>
        <w:jc w:val="center"/>
        <w:rPr>
          <w:rFonts w:ascii="Book Antiqua" w:hAnsi="Book Antiqua"/>
          <w:b/>
          <w:b/>
          <w:sz w:val="24"/>
          <w:szCs w:val="24"/>
        </w:rPr>
      </w:pPr>
      <w:r>
        <w:rPr>
          <w:rFonts w:ascii="Book Antiqua" w:hAnsi="Book Antiqua"/>
          <w:b/>
          <w:sz w:val="24"/>
          <w:szCs w:val="24"/>
        </w:rPr>
        <w:t>Τελική διάταξη Κεφαλαίου Θ’</w:t>
      </w:r>
    </w:p>
    <w:p>
      <w:pPr>
        <w:pStyle w:val="Normal"/>
        <w:spacing w:lineRule="auto" w:line="360"/>
        <w:jc w:val="both"/>
        <w:rPr>
          <w:rFonts w:ascii="Book Antiqua" w:hAnsi="Book Antiqua"/>
          <w:b/>
          <w:b/>
          <w:sz w:val="24"/>
          <w:szCs w:val="24"/>
        </w:rPr>
      </w:pPr>
      <w:r>
        <w:rPr>
          <w:rFonts w:ascii="Book Antiqua" w:hAnsi="Book Antiqua"/>
          <w:sz w:val="24"/>
          <w:szCs w:val="24"/>
        </w:rPr>
        <w:t>Οι διατάξεις των άρθρων 172, 173, 182, 183, 184, 185, 186, 187, 188 και 189  ισχύουν από την επόμενη αυτοδιοικητική περίοδο.</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Ι’</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Άρθρο 203</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before="0" w:after="0"/>
        <w:rPr>
          <w:rFonts w:ascii="Book Antiqua" w:hAnsi="Book Antiqua"/>
          <w:b/>
          <w:b/>
          <w:sz w:val="24"/>
          <w:szCs w:val="24"/>
          <w:lang w:eastAsia="el-GR"/>
        </w:rPr>
      </w:pPr>
      <w:r>
        <w:rPr>
          <w:rFonts w:ascii="Book Antiqua" w:hAnsi="Book Antiqua"/>
          <w:sz w:val="24"/>
          <w:szCs w:val="24"/>
          <w:lang w:eastAsia="el-GR"/>
        </w:rPr>
        <w:tab/>
      </w:r>
      <w:r>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Με κοινή απόφαση του Υπουργού Εσωτερικών και του καθ’ ύλην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 σύμφωνα με τις αρχές της εγγύτητας, της επικουρικότητας και της αποτελεσματικότητας. Ειδικά ως προς τις αρμοδιότητες και τις διαδικασίες των ΟΤΑ α’ βαθμού, λαμβάνεται υπ’ όψη και η κατηγοριοποίηση των Δήμων, σύμφωνα με το άρθρο 2Α του ν. 3852/2010.</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μονάδας επιπέδου Διεύθυνσης, εκπρόσωποι του καθ’ ύλην αρμόδιου Υπουργείου, σε επίπεδο Γενικής Διεύθυνσης, Διεύθυνσης και Τμήματος, ανά τομέα δημόσιας πολιτικής, ένας εκπρόσωπος της Κεντρικής Ένωσης Δήμων Ελλάδας (ΚΕΔΕ) και ένας εκπρόσωπος της Ένωσης Περιφερειών Ελλάδας (ΕΝΠΕ). Ως Πρόεδρος ορίζεται, ανάλογα με τον οικείο τομέα δημόσιας πολιτικής, Γενικός ή Ειδικός Γραμματέας ή Γενικός Διευθυντής του καθ’ ύλην αρμόδιου Υπουργείου, με τον αναπληρωτή του. Στις συνεδριάσεις των Δ.Ε.ΑΝ.Α.Δ. δύνανται να καλούνται και εμπειρογνώμονες και ειδικοί επιστήμονες, ανάλογα με τις εξεταζόμενες, κατά περίπτωση, αρμοδιότητες και διαδικασίες. Καθήκοντα γραμματέα των Δ.Ε.ΑΝ.Α.Δ. ασκούν μόνιμοι υπάλληλοι του Υπουργείου Εσωτερικών, που ορίζονται με την απόφαση της παρ. 1.</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 xml:space="preserve">Σκοπός των Δ.Ε.ΑΝ.Α.Δ. είναι ιδίως ο εντοπισμός περιπτώσεων κατακερματισμού ή αλληλεπικάλυψης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δημόσιας πολιτικής ή ανά επί μέρους θεματικό πεδίο και της ανάθεσής τους στο προσήκον επίπεδο διοίκησης, σύμφωνα με τις αρχές της παρ. 1, καθώς και η επεξεργασία προτυποποιημένων υποδειγμάτων εγγράφων ή διαδικασιών. </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Κάθε Δ.Ε.ΑΝ.Α.Δ. υποβάλλει, εντός τεσσάρων (4) μηνών από τη συγκρότησή της, στον Υπουργό Εσωτερικών, στον καθ’ ύλην αρμόδιο Υπουργό και στη Μόνιμη Επιτροπή Ελέγχου Αρμοδιοτήτων τοπικής Αυτοδιοίκησης πόρισμα με τα συμπεράσματα και τις προτάσεις της, με την ανάλογη νομοτεχνική επεξεργασία. Το πόρισμα κάθε Δ.Ε.ΑΝ.Α. κοινοποιείται στην ΚΕΔΕ, στην ΕΝΠΕ και στους Συντονιστές των Αποκεντρωμένων Διοικήσεων, προκειμένου να υποβάλουν τις παρατηρήσεις τους στον Υπουργό Εσωτερικών και τον καθ’ ύλη αρμόδιο Υπουργό.</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 xml:space="preserve">Οι αποφάσεις της παρ. 1 εκδίδονται εντός ενός (1) μήνα από την έναρξη ισχύος του παρόντος. </w:t>
      </w:r>
    </w:p>
    <w:p>
      <w:pPr>
        <w:pStyle w:val="Normal"/>
        <w:spacing w:lineRule="auto" w:line="360" w:before="0" w:after="0"/>
        <w:ind w:left="720" w:hanging="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ind w:left="720" w:hanging="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ind w:left="720" w:hanging="0"/>
        <w:jc w:val="center"/>
        <w:rPr>
          <w:rFonts w:ascii="Book Antiqua" w:hAnsi="Book Antiqua"/>
          <w:b/>
          <w:b/>
          <w:sz w:val="24"/>
          <w:szCs w:val="24"/>
          <w:lang w:eastAsia="el-GR"/>
        </w:rPr>
      </w:pPr>
      <w:r>
        <w:rPr>
          <w:rFonts w:ascii="Book Antiqua" w:hAnsi="Book Antiqua"/>
          <w:b/>
          <w:sz w:val="24"/>
          <w:szCs w:val="24"/>
          <w:lang w:eastAsia="el-GR"/>
        </w:rPr>
        <w:t>Άρθρο 204</w:t>
      </w:r>
    </w:p>
    <w:p>
      <w:pPr>
        <w:pStyle w:val="Normal"/>
        <w:spacing w:lineRule="auto" w:line="360" w:before="0" w:after="0"/>
        <w:ind w:left="720" w:hanging="0"/>
        <w:jc w:val="center"/>
        <w:rPr>
          <w:rFonts w:ascii="Book Antiqua" w:hAnsi="Book Antiqua"/>
          <w:b/>
          <w:b/>
          <w:sz w:val="24"/>
          <w:szCs w:val="24"/>
          <w:lang w:eastAsia="el-GR"/>
        </w:rPr>
      </w:pPr>
      <w:r>
        <w:rPr>
          <w:rFonts w:ascii="Book Antiqua" w:hAnsi="Book Antiqua"/>
          <w:b/>
          <w:sz w:val="24"/>
          <w:szCs w:val="24"/>
          <w:lang w:eastAsia="el-GR"/>
        </w:rPr>
        <w:t>Μόνιμη Επιτροπή Ελέγχου Αρμοδιοτήτων Τοπικής Αυτοδιοίκησης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 xml:space="preserve">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 </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(ΕΝ.ΠΕ.) με τους αναπληρωτές τους. Ανάλογα με το θέμα της ημερήσιας διάταξης, στην Επιτροπή συμμετέχει και εκπρόσωπος του καθ’ ύλην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 5 του Συντάγματος.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Με την απόφαση της παραγράφου 1 μπορούν να ρυθμίζονται ειδικότερα θέματα σχετικά με τη σύγκληση και τη λειτουργία της Επιτροπής.</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ind w:firstLine="720"/>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                                    </w:t>
      </w:r>
      <w:r>
        <w:rPr>
          <w:rFonts w:eastAsia="Times New Roman" w:cs="Tahoma" w:ascii="Book Antiqua" w:hAnsi="Book Antiqua"/>
          <w:b/>
          <w:sz w:val="24"/>
          <w:szCs w:val="24"/>
          <w:lang w:eastAsia="el-GR"/>
        </w:rPr>
        <w:t>ΚΕΦΑΛΑΙΟ ΙΑ’</w:t>
      </w:r>
    </w:p>
    <w:p>
      <w:pPr>
        <w:pStyle w:val="Normal"/>
        <w:spacing w:lineRule="auto" w:line="360" w:before="0" w:after="0"/>
        <w:ind w:firstLine="72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ΛΟΙΠΕΣ ΔΙΑΤΑΞΕΙΣ ΣΧΕΤΙΚΕΣ ΜΕ ΤΗΝ ΤΟΠΙΚΗ ΑΥΤΟΔΙΟΙΚΗΣΗ</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Spacing"/>
        <w:spacing w:lineRule="auto" w:line="360"/>
        <w:jc w:val="center"/>
        <w:rPr>
          <w:rFonts w:ascii="Book Antiqua" w:hAnsi="Book Antiqua"/>
          <w:b/>
          <w:b/>
          <w:sz w:val="24"/>
          <w:szCs w:val="24"/>
        </w:rPr>
      </w:pPr>
      <w:r>
        <w:rPr>
          <w:rFonts w:ascii="Book Antiqua" w:hAnsi="Book Antiqua"/>
          <w:b/>
          <w:sz w:val="24"/>
          <w:szCs w:val="24"/>
        </w:rPr>
        <w:t>Άρθρο 205</w:t>
      </w:r>
    </w:p>
    <w:p>
      <w:pPr>
        <w:pStyle w:val="NoSpacing"/>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Ίδρυση Μουσείου Ολοκαυτώματος στη Θεσσαλονίκη</w:t>
      </w:r>
    </w:p>
    <w:p>
      <w:pPr>
        <w:pStyle w:val="Normal"/>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lang w:val="en-US"/>
        </w:rPr>
        <w:t>O</w:t>
      </w:r>
      <w:r>
        <w:rPr>
          <w:rFonts w:ascii="Book Antiqua" w:hAnsi="Book Antiqua"/>
          <w:sz w:val="24"/>
          <w:szCs w:val="24"/>
        </w:rPr>
        <w:t xml:space="preserve"> Δήμος Θεσσαλονίκης δύναται, με εκπρόσωπό του, που ορίζεται με απόφαση του Δημοτικού Συμβουλίου, να συμμετέχει στην ίδρυση, διοίκηση και λειτουργία της κατά το βελγικό δίκαιο  Διεθνούς Ένωσης μη κερδοσκοπικού χαρακτήρα (Association  Internationale  Sans But Lucratif), με την επωνυμία «Μουσείο Ολοκαυτώματος Ελλάδος», με έδρα τις Βρυξέλες και καταστατικό σκοπό την ανέγερση και λειτουργία στην Θεσσαλονίκη Μουσείου του Ολοκαυτώματος.</w:t>
      </w:r>
    </w:p>
    <w:p>
      <w:pPr>
        <w:pStyle w:val="Normal"/>
        <w:spacing w:lineRule="auto" w:line="360"/>
        <w:rPr>
          <w:rFonts w:ascii="Book Antiqua" w:hAnsi="Book Antiqua"/>
          <w:sz w:val="24"/>
          <w:szCs w:val="24"/>
        </w:rPr>
      </w:pPr>
      <w:r>
        <w:rPr>
          <w:rFonts w:ascii="Book Antiqua" w:hAnsi="Book Antiqua"/>
          <w:sz w:val="24"/>
          <w:szCs w:val="24"/>
        </w:rPr>
        <w:t xml:space="preserve"> </w:t>
      </w:r>
    </w:p>
    <w:p>
      <w:pPr>
        <w:pStyle w:val="Normal"/>
        <w:spacing w:lineRule="auto" w:line="360" w:before="0" w:after="0"/>
        <w:rPr>
          <w:rFonts w:ascii="Book Antiqua" w:hAnsi="Book Antiqua"/>
          <w:b/>
          <w:b/>
          <w:sz w:val="24"/>
          <w:szCs w:val="24"/>
        </w:rPr>
      </w:pPr>
      <w:r>
        <w:rPr>
          <w:rFonts w:ascii="Book Antiqua" w:hAnsi="Book Antiqua"/>
          <w:b/>
          <w:sz w:val="24"/>
          <w:szCs w:val="24"/>
        </w:rPr>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Άρθρο 206</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1 παρ. 2 του Ν. 3852/2010  (Α’ 87)</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Το άρθρο 115 του ν. 4316/2014 (Α΄ 185) καταργείται.</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 xml:space="preserve">Στο άρθρο 1 παρ. 2 περ. 45 (Νομός Τρικάλων) Α.4 του ν. 3852/2010 (Α’ </w:t>
      </w:r>
      <w:r>
        <w:rPr>
          <w:rFonts w:ascii="Book Antiqua" w:hAnsi="Book Antiqua"/>
          <w:b/>
          <w:sz w:val="24"/>
          <w:szCs w:val="24"/>
        </w:rPr>
        <w:t>87</w:t>
      </w:r>
      <w:r>
        <w:rPr>
          <w:rFonts w:ascii="Book Antiqua" w:hAnsi="Book Antiqua"/>
          <w:sz w:val="24"/>
          <w:szCs w:val="24"/>
        </w:rPr>
        <w:t>) οι λέξεις «Δήμος Καλαμπάκας» αντικαθίστανται από τις λέξεις «Δήμος Μετεώρων».</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Στο άρθρο 1 παρ. 2 περ. 46 (Νομός Φθιώτιδας) Α.4 του ν. 3852/2010 (Α’ 87) οι λέξεις «Δήμος Μώλου-Αγίου Κωνσταντίνου» αντικαθίστανται από τις λέξεις «Δήμος Καμένων Βούρλων».</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rmal"/>
        <w:spacing w:lineRule="auto" w:line="360" w:before="0" w:after="0"/>
        <w:jc w:val="center"/>
        <w:rPr>
          <w:rFonts w:ascii="Book Antiqua" w:hAnsi="Book Antiqua"/>
          <w:b/>
          <w:b/>
          <w:sz w:val="24"/>
          <w:szCs w:val="24"/>
        </w:rPr>
      </w:pPr>
      <w:r>
        <w:rPr>
          <w:rFonts w:ascii="Book Antiqua" w:hAnsi="Book Antiqua"/>
          <w:b/>
          <w:sz w:val="24"/>
          <w:szCs w:val="24"/>
        </w:rPr>
        <w:t>Άρθρο 207</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3 παρ. 1 του Ν. 25/1975  (Α’ 74)</w:t>
      </w:r>
    </w:p>
    <w:p>
      <w:pPr>
        <w:pStyle w:val="ListParagraph"/>
        <w:numPr>
          <w:ilvl w:val="0"/>
          <w:numId w:val="134"/>
        </w:numPr>
        <w:spacing w:lineRule="auto" w:line="360" w:before="0" w:after="0"/>
        <w:ind w:left="709" w:hanging="283"/>
        <w:jc w:val="both"/>
        <w:rPr>
          <w:rFonts w:ascii="Book Antiqua" w:hAnsi="Book Antiqua" w:eastAsia="Times New Roman"/>
          <w:sz w:val="24"/>
          <w:szCs w:val="24"/>
          <w:lang w:eastAsia="el-GR"/>
        </w:rPr>
      </w:pPr>
      <w:r>
        <w:rPr>
          <w:rFonts w:eastAsia="Times New Roman" w:ascii="Book Antiqua" w:hAnsi="Book Antiqua"/>
          <w:sz w:val="24"/>
          <w:szCs w:val="24"/>
          <w:lang w:eastAsia="el-GR"/>
        </w:rPr>
        <w:t>Τα δύο τελευταία εδάφια της παρ. 1 του αρ. 3 του Ν. 25/1975 (Α’ 74), όπως αντικαταστάθηκαν με το αρ. 5 του ν. 3345/2005 (Α’138), αντικαθίστανται ως εξής:</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«Ακίνητα, στα οποία διακόπτεται η ηλεκτροδότηση, απαλλάσσονται από την καταβολή τελών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Μέχρι την υποβολή της ανωτέρω δήλωσης, τα τέλη οφείλονται ανά κατηγορία ακινήτου και καταβάλλονται κατά τα οριζόμενα στο άρθρο 21 του από 24.9/20.10.1958 β.δ. "περί κωδικοποιήσεως εις ενιαίον κείμενον νόμου των ισχυουσών διατάξεων περί των προσόδων δήμων και κοινοτήτων".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pPr>
        <w:pStyle w:val="ListParagraph"/>
        <w:numPr>
          <w:ilvl w:val="0"/>
          <w:numId w:val="134"/>
        </w:numPr>
        <w:spacing w:lineRule="auto" w:line="360" w:before="0" w:after="0"/>
        <w:ind w:left="709"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υπεύθυνη δήλωση του ιδιοκτήτη ή του νόμιμου εκπροσώπου του, διαγράφονται ή παραλείπεται η βεβαίωσή τους. Εφόσον η ανωτέρω υπεύθυνη δήλωση δεν έχει υποβληθεί μέχρι τη δημοσίευση του παρόντος, υποβάλλεται το αργότερο εντός έξι (6) μηνών από αυτήν. Ποσά που έχουν καταβληθεί δεν αναζητούνται.</w:t>
      </w:r>
    </w:p>
    <w:p>
      <w:pPr>
        <w:pStyle w:val="Normal"/>
        <w:spacing w:lineRule="auto" w:line="360" w:before="0" w:after="0"/>
        <w:ind w:firstLine="72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firstLine="72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center"/>
        <w:rPr>
          <w:rFonts w:ascii="Book Antiqua" w:hAnsi="Book Antiqua"/>
          <w:b/>
          <w:b/>
          <w:sz w:val="24"/>
          <w:szCs w:val="24"/>
        </w:rPr>
      </w:pPr>
      <w:r>
        <w:rPr>
          <w:rFonts w:ascii="Book Antiqua" w:hAnsi="Book Antiqua"/>
          <w:b/>
          <w:sz w:val="24"/>
          <w:szCs w:val="24"/>
        </w:rPr>
        <w:t>Άρθρο 208</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99 του Ν. 4483/2017 (Α’ 107)</w:t>
      </w:r>
    </w:p>
    <w:p>
      <w:pPr>
        <w:pStyle w:val="Normal"/>
        <w:spacing w:lineRule="auto" w:line="360" w:before="0" w:after="0"/>
        <w:jc w:val="both"/>
        <w:rPr>
          <w:rFonts w:ascii="Book Antiqua" w:hAnsi="Book Antiqua"/>
          <w:sz w:val="24"/>
          <w:szCs w:val="24"/>
        </w:rPr>
      </w:pPr>
      <w:r>
        <w:rPr>
          <w:rFonts w:ascii="Book Antiqua" w:hAnsi="Book Antiqua"/>
          <w:sz w:val="24"/>
          <w:szCs w:val="24"/>
        </w:rPr>
        <w:t>Το εδ. β της παρ. 2 του άρθρου 99 του Ν. 4483/2017 (ΦΕΚ 107 Α΄) αντικαθίσταται ως εξής:</w:t>
      </w:r>
    </w:p>
    <w:p>
      <w:pPr>
        <w:pStyle w:val="Normal"/>
        <w:spacing w:lineRule="auto" w:line="360" w:before="0" w:after="0"/>
        <w:jc w:val="both"/>
        <w:rPr>
          <w:rFonts w:ascii="Book Antiqua" w:hAnsi="Book Antiqua"/>
          <w:sz w:val="24"/>
          <w:szCs w:val="24"/>
        </w:rPr>
      </w:pPr>
      <w:r>
        <w:rPr>
          <w:rFonts w:ascii="Book Antiqua" w:hAnsi="Book Antiqua"/>
          <w:sz w:val="24"/>
          <w:szCs w:val="24"/>
        </w:rPr>
        <w:t>«Το προηγούμενο εδάφιο εφαρμόζεται και σε μετατάξεις ή μεταφορές υπαλλήλων που διενεργήθηκαν σε Ο.Τ.Α. α` και β` βαθμού, σύμφωνα με τα άρθρα 74, 78, 181 και 182 του ν. 3584/2007 (Α’ 143), 246 του ν. 3852/2010 (Α’ 87) και 9 παρ. 18 του ν. 4057/2012 (Α΄ 54), εκτός αυτών περί ενδοαυτοδιοικητικής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pPr>
        <w:pStyle w:val="Normal"/>
        <w:spacing w:lineRule="auto" w:line="360" w:before="0" w:after="0"/>
        <w:ind w:firstLine="720"/>
        <w:rPr>
          <w:rFonts w:ascii="Book Antiqua" w:hAnsi="Book Antiqua"/>
          <w:sz w:val="24"/>
          <w:szCs w:val="24"/>
          <w:highlight w:val="cyan"/>
        </w:rPr>
      </w:pPr>
      <w:r>
        <w:rPr>
          <w:rFonts w:ascii="Book Antiqua" w:hAnsi="Book Antiqua"/>
          <w:sz w:val="24"/>
          <w:szCs w:val="24"/>
          <w:highlight w:val="cyan"/>
        </w:rPr>
      </w:r>
    </w:p>
    <w:p>
      <w:pPr>
        <w:pStyle w:val="Normal"/>
        <w:spacing w:lineRule="auto" w:line="360"/>
        <w:jc w:val="center"/>
        <w:rPr>
          <w:rFonts w:ascii="Book Antiqua" w:hAnsi="Book Antiqua"/>
          <w:b/>
          <w:b/>
          <w:sz w:val="24"/>
          <w:szCs w:val="24"/>
          <w:highlight w:val="cyan"/>
        </w:rPr>
      </w:pPr>
      <w:r>
        <w:rPr>
          <w:rFonts w:ascii="Book Antiqua" w:hAnsi="Book Antiqua"/>
          <w:b/>
          <w:sz w:val="24"/>
          <w:szCs w:val="24"/>
          <w:highlight w:val="cyan"/>
        </w:rPr>
      </w:r>
    </w:p>
    <w:p>
      <w:pPr>
        <w:pStyle w:val="Normal"/>
        <w:spacing w:lineRule="auto" w:line="360"/>
        <w:jc w:val="center"/>
        <w:rPr>
          <w:rFonts w:ascii="Book Antiqua" w:hAnsi="Book Antiqua"/>
          <w:b/>
          <w:b/>
          <w:sz w:val="24"/>
          <w:szCs w:val="24"/>
        </w:rPr>
      </w:pPr>
      <w:r>
        <w:rPr>
          <w:rFonts w:ascii="Book Antiqua" w:hAnsi="Book Antiqua"/>
          <w:b/>
          <w:sz w:val="24"/>
          <w:szCs w:val="24"/>
        </w:rPr>
        <w:t>Άρθρο 209</w:t>
      </w:r>
    </w:p>
    <w:p>
      <w:pPr>
        <w:pStyle w:val="Normal"/>
        <w:spacing w:lineRule="auto" w:line="360"/>
        <w:jc w:val="center"/>
        <w:rPr>
          <w:rFonts w:ascii="Book Antiqua" w:hAnsi="Book Antiqua"/>
          <w:b/>
          <w:b/>
          <w:sz w:val="24"/>
          <w:szCs w:val="24"/>
        </w:rPr>
      </w:pPr>
      <w:r>
        <w:rPr>
          <w:rFonts w:ascii="Book Antiqua" w:hAnsi="Book Antiqua"/>
          <w:b/>
          <w:sz w:val="24"/>
          <w:szCs w:val="24"/>
          <w:lang w:val="en-US"/>
        </w:rPr>
        <w:t>A</w:t>
      </w:r>
      <w:r>
        <w:rPr>
          <w:rFonts w:ascii="Book Antiqua" w:hAnsi="Book Antiqua"/>
          <w:b/>
          <w:sz w:val="24"/>
          <w:szCs w:val="24"/>
        </w:rPr>
        <w:t>στυνόμευση και καθαρισμός ρεμάτων και απαλλοτριώσεων χώρων παρά τα ρέματα</w:t>
      </w:r>
    </w:p>
    <w:p>
      <w:pPr>
        <w:pStyle w:val="ListParagraph"/>
        <w:numPr>
          <w:ilvl w:val="0"/>
          <w:numId w:val="132"/>
        </w:numPr>
        <w:spacing w:lineRule="auto" w:line="360"/>
        <w:jc w:val="both"/>
        <w:rPr>
          <w:rFonts w:ascii="Book Antiqua" w:hAnsi="Book Antiqua"/>
          <w:sz w:val="24"/>
          <w:szCs w:val="24"/>
        </w:rPr>
      </w:pPr>
      <w:r>
        <w:rPr>
          <w:rFonts w:ascii="Book Antiqua" w:hAnsi="Book Antiqua"/>
          <w:sz w:val="24"/>
          <w:szCs w:val="24"/>
        </w:rPr>
        <w:t xml:space="preserve">Η περ. 4 της παρ. Ε του άρθρου 204 του ν. 3852/2010, όπως ισχύει, καταργείται. </w:t>
      </w:r>
    </w:p>
    <w:p>
      <w:pPr>
        <w:pStyle w:val="ListParagraph"/>
        <w:numPr>
          <w:ilvl w:val="0"/>
          <w:numId w:val="132"/>
        </w:numPr>
        <w:spacing w:lineRule="auto" w:line="360"/>
        <w:jc w:val="both"/>
        <w:rPr>
          <w:rFonts w:ascii="Book Antiqua" w:hAnsi="Book Antiqua"/>
          <w:sz w:val="24"/>
          <w:szCs w:val="24"/>
        </w:rPr>
      </w:pPr>
      <w:r>
        <w:rPr>
          <w:rFonts w:ascii="Book Antiqua" w:hAnsi="Book Antiqua"/>
          <w:sz w:val="24"/>
          <w:szCs w:val="24"/>
        </w:rPr>
        <w:t xml:space="preserve">Η περ. θ της παρ. 2 του άρθρου 4 του ν.4071/2012, όπως ισχύει, καταργείται. </w:t>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ΔΕΥΤΕΡΟ</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 xml:space="preserve">ΡΥΘΜΙΣΕΙΣ ΓΙΑ ΤΟΝ ΕΚΣΥΓΧΡΟΝΙΣΜΟ ΤΟΥ ΘΕΣΜΙΚΟΥ ΠΛΑΙΣΙΟΥ ΟΡΓΑΝΩΣΗΣ ΚΑΙ ΛΕΙΤΟΥΡΓΙΑΣ ΤΩΝ </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ΦΟΡΕΩΝ ΔΙΑΧΕΙΡΙΣΗΣ ΣΤΕΡΕΩΝ ΑΠΟΒΛΗΤΩΝ (ΦΟΔΣΑ)</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iCs/>
          <w:color w:val="000000"/>
          <w:sz w:val="24"/>
          <w:szCs w:val="24"/>
          <w:lang w:eastAsia="el-GR"/>
        </w:rPr>
      </w:pPr>
      <w:r>
        <w:rPr>
          <w:rFonts w:eastAsia="Times New Roman" w:ascii="Book Antiqua" w:hAnsi="Book Antiqua"/>
          <w:iCs/>
          <w:color w:val="000000"/>
          <w:sz w:val="24"/>
          <w:szCs w:val="24"/>
          <w:lang w:eastAsia="el-GR"/>
        </w:rPr>
      </w:r>
    </w:p>
    <w:p>
      <w:pPr>
        <w:pStyle w:val="Normal"/>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210</w:t>
      </w:r>
    </w:p>
    <w:p>
      <w:pPr>
        <w:pStyle w:val="Normal"/>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Διαχείριση των στερεών αποβλήτων στους δήμους της ηπειρωτικής χώρας</w:t>
      </w:r>
    </w:p>
    <w:p>
      <w:pPr>
        <w:pStyle w:val="Normal"/>
        <w:spacing w:lineRule="auto" w:line="360" w:before="0" w:after="0"/>
        <w:ind w:right="26" w:hanging="0"/>
        <w:jc w:val="center"/>
        <w:rPr>
          <w:rFonts w:ascii="Book Antiqua" w:hAnsi="Book Antiqua" w:eastAsia="Times New Roman"/>
          <w:b/>
          <w:b/>
          <w:sz w:val="24"/>
          <w:szCs w:val="24"/>
          <w:lang w:eastAsia="el-GR"/>
        </w:rPr>
      </w:pPr>
      <w:r>
        <w:rPr>
          <w:rFonts w:eastAsia="Times New Roman" w:ascii="Book Antiqua" w:hAnsi="Book Antiqua"/>
          <w:b/>
          <w:bCs/>
          <w:color w:val="000000"/>
          <w:sz w:val="24"/>
          <w:szCs w:val="24"/>
          <w:lang w:eastAsia="el-GR"/>
        </w:rPr>
        <w:t xml:space="preserve">  </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Στις Περιφέρειες της ηπειρωτικής χώρας, πλην της Περιφέρειας Αττικής, συστήνονται Φορείς Διαχείρισης Στερεών Αποβλήτων (ΦΟΔΣΑ) από τους Δήμους της οικείας Περιφέρειας είτε ως νομικά πρόσωπα δηοσίου δικαίου με τη μορφή συνδέσμου είτε ως ανώνυμες εταιρείες, σύμφωνα με το άρθρο 221 του παρόντος.  </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Οι ΦΟΔΣΑ έχουν κοινωφελή και μη κερδοσκοπικό χαρακτήρα, ανεξαρτήτως νομικής μορφής και  λειτουργούν χάριν του δημοσίου συμφέροντος.</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Εντός της οικείας Περιφέρειας δύνανται να λειτουργούν ένας έως και τρεις ΦΟΔΣΑ, εφόσον συντρέχουν σωρευτικά οι παρακάτω προϋποθέσεις:</w:t>
      </w:r>
    </w:p>
    <w:p>
      <w:pPr>
        <w:pStyle w:val="Normal"/>
        <w:spacing w:lineRule="auto" w:line="360" w:before="150" w:after="150"/>
        <w:ind w:left="709" w:right="26" w:hanging="0"/>
        <w:jc w:val="both"/>
        <w:rPr>
          <w:rFonts w:ascii="Book Antiqua" w:hAnsi="Book Antiqua" w:eastAsia="Times New Roman" w:cs="Courier New"/>
          <w:strike/>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να έχει ληφθεί απόφαση των δημοτικών συμβουλίων των Δήμων – μελών </w:t>
      </w:r>
      <w:r>
        <w:rPr>
          <w:rFonts w:eastAsia="Times New Roman" w:ascii="Book Antiqua" w:hAnsi="Book Antiqua"/>
          <w:sz w:val="24"/>
          <w:szCs w:val="24"/>
          <w:lang w:eastAsia="el-GR"/>
        </w:rPr>
        <w:t xml:space="preserve">του ΦΟΔΣΑ, με απόλυτη πλειοψηφία των </w:t>
      </w:r>
      <w:r>
        <w:rPr>
          <w:rFonts w:eastAsia="Times New Roman" w:ascii="Book Antiqua" w:hAnsi="Book Antiqua"/>
          <w:color w:val="000000"/>
          <w:sz w:val="24"/>
          <w:szCs w:val="24"/>
          <w:lang w:eastAsia="el-GR"/>
        </w:rPr>
        <w:t xml:space="preserve">μελών, η οποία περιλαμβάνει τουλάχιστον τη νομική μορφή, τη χρονική διάρκεια, </w:t>
      </w:r>
      <w:r>
        <w:rPr>
          <w:rFonts w:eastAsia="Times New Roman" w:ascii="Book Antiqua" w:hAnsi="Book Antiqua"/>
          <w:sz w:val="24"/>
          <w:szCs w:val="24"/>
          <w:lang w:eastAsia="el-GR"/>
        </w:rPr>
        <w:t xml:space="preserve">την έδρα και τον αριθμό των εκπροσώπων του κάθε Δήμου στο όργανο διοίκησης του ΦΟΔΣΑ.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(β)</w:t>
      </w:r>
      <w:r>
        <w:rPr>
          <w:rFonts w:eastAsia="Times New Roman" w:ascii="Book Antiqua" w:hAnsi="Book Antiqua"/>
          <w:sz w:val="24"/>
          <w:szCs w:val="24"/>
          <w:lang w:eastAsia="el-GR"/>
        </w:rPr>
        <w:t xml:space="preserve"> σε κάθε ΦοΔΣΑ να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sz w:val="24"/>
          <w:szCs w:val="24"/>
          <w:lang w:eastAsia="el-GR"/>
        </w:rPr>
        <w:t>(γ) κ</w:t>
      </w:r>
      <w:r>
        <w:rPr>
          <w:rFonts w:eastAsia="Times New Roman" w:ascii="Book Antiqua" w:hAnsi="Book Antiqua"/>
          <w:color w:val="000000"/>
          <w:sz w:val="24"/>
          <w:szCs w:val="24"/>
          <w:lang w:eastAsia="el-GR"/>
        </w:rPr>
        <w:t xml:space="preserve">άθε Δήμος να συμμετέχει σε έναν μόνο ΦΟΔΣΑ.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(δ) </w:t>
      </w:r>
      <w:r>
        <w:rPr>
          <w:rFonts w:eastAsia="Times New Roman" w:ascii="Book Antiqua" w:hAnsi="Book Antiqua"/>
          <w:sz w:val="24"/>
          <w:szCs w:val="24"/>
          <w:lang w:eastAsia="el-GR"/>
        </w:rPr>
        <w:t>εντός των διοικητικών ορίων ενός από τους Δήμους – μέλη του οικείου ΦΟΔΣΑ να  έχει προβλεφθεί τουλάχιστον ένας χώρος υγειονομικής ταφής (ΧΥΤ) αποβλήτων, σύμφωνα με το οικείο Περιφερειακό Σχέδιο Διαχείρισης Αποβλήτων (ΠΕΣΔΑ).</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(ε)</w:t>
      </w:r>
      <w:r>
        <w:rPr>
          <w:rFonts w:eastAsia="Times New Roman" w:ascii="Book Antiqua" w:hAnsi="Book Antiqua"/>
          <w:sz w:val="24"/>
          <w:szCs w:val="24"/>
          <w:lang w:eastAsia="el-GR"/>
        </w:rPr>
        <w:t xml:space="preserve"> εντός των διοικητικών ορίων ενός από τους Δήμους – μέλη του οικείου ΦΟΔΣΑ να έχει προβλεφθεί μονάδα μηχανικής – βιολογικής επεξεργασίας αποβλήτων ή άλλο έργο ή υποδομή, ώστε να ολοκληρώνεται εντός των ορίων του ΦΟΔΣΑ η διαχείριση των  αποβλήτων,σύμφωνα με το οικείο Περιφερειακό Σχέδιο Διαχείρισης Αποβλήτων (ΠΕΣΔΑ).</w:t>
      </w:r>
    </w:p>
    <w:p>
      <w:pPr>
        <w:pStyle w:val="ListParagraph"/>
        <w:numPr>
          <w:ilvl w:val="0"/>
          <w:numId w:val="163"/>
        </w:numPr>
        <w:spacing w:lineRule="auto" w:line="360" w:before="0" w:after="0"/>
        <w:ind w:left="709" w:right="26" w:hanging="425"/>
        <w:jc w:val="both"/>
        <w:rPr>
          <w:rFonts w:ascii="Book Antiqua" w:hAnsi="Book Antiqua" w:eastAsia="Times New Roman"/>
          <w:sz w:val="24"/>
          <w:szCs w:val="24"/>
          <w:lang w:eastAsia="el-GR"/>
        </w:rPr>
      </w:pPr>
      <w:r>
        <w:rPr>
          <w:rFonts w:ascii="Book Antiqua" w:hAnsi="Book Antiqua"/>
          <w:b/>
          <w:sz w:val="24"/>
          <w:szCs w:val="24"/>
          <w:lang w:eastAsia="el-GR"/>
        </w:rPr>
        <w:t>α.</w:t>
      </w:r>
      <w:r>
        <w:rPr>
          <w:rFonts w:ascii="Book Antiqua" w:hAnsi="Book Antiqua"/>
          <w:sz w:val="24"/>
          <w:szCs w:val="24"/>
          <w:lang w:eastAsia="el-GR"/>
        </w:rPr>
        <w:t xml:space="preserve"> Στις Περιφέρειες  που θα συσταθεί ένας ΦΟΔΣΑ, σύμφωνα με τις διατάξεις του παρόντος, προκειμένου να λειτουργεί και δεύτερος ή και τρίτος ΦΟΔΣΑ επιπλέον των προϋποθέσεων της προηγούμενης παραγράφου, απαιτείται να συντρέχουν σωρευτικά και οι παρακάτω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b/>
          <w:bCs/>
          <w:color w:val="000000"/>
          <w:sz w:val="24"/>
          <w:szCs w:val="24"/>
          <w:lang w:eastAsia="el-GR"/>
        </w:rPr>
        <w:t>(</w:t>
      </w:r>
      <w:r>
        <w:rPr>
          <w:rFonts w:eastAsia="Times New Roman" w:ascii="Book Antiqua" w:hAnsi="Book Antiqua"/>
          <w:bCs/>
          <w:color w:val="000000"/>
          <w:sz w:val="24"/>
          <w:szCs w:val="24"/>
          <w:lang w:eastAsia="el-GR"/>
        </w:rPr>
        <w:t>αα)</w:t>
      </w:r>
      <w:r>
        <w:rPr>
          <w:rFonts w:eastAsia="Times New Roman" w:ascii="Book Antiqua" w:hAnsi="Book Antiqua"/>
          <w:color w:val="000000"/>
          <w:sz w:val="24"/>
          <w:szCs w:val="24"/>
          <w:lang w:eastAsia="el-GR"/>
        </w:rPr>
        <w:t xml:space="preserve"> Σύμφωνη γνώμη του αρμοδίου οργάνου διοίκησης του υφιστάμενου «ΦΟΔΣΑ».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(ββ)</w:t>
      </w:r>
      <w:r>
        <w:rPr>
          <w:rFonts w:eastAsia="Times New Roman" w:ascii="Book Antiqua" w:hAnsi="Book Antiqua"/>
          <w:color w:val="000000"/>
          <w:sz w:val="24"/>
          <w:szCs w:val="24"/>
          <w:lang w:eastAsia="el-GR"/>
        </w:rPr>
        <w:t xml:space="preserve"> Μελέτη σκοπιμότητας και οικονομικοτεχνική μελέτη βιωσιμότητας, οι οποίες </w:t>
      </w:r>
      <w:r>
        <w:rPr>
          <w:rFonts w:eastAsia="Times New Roman" w:ascii="Book Antiqua" w:hAnsi="Book Antiqua"/>
          <w:sz w:val="24"/>
          <w:szCs w:val="24"/>
          <w:lang w:eastAsia="el-GR"/>
        </w:rPr>
        <w:t xml:space="preserve">συντάσσονται από </w:t>
      </w:r>
      <w:r>
        <w:rPr>
          <w:rFonts w:eastAsia="Times New Roman" w:ascii="Book Antiqua" w:hAnsi="Book Antiqua"/>
          <w:color w:val="000000"/>
          <w:sz w:val="24"/>
          <w:szCs w:val="24"/>
          <w:lang w:eastAsia="el-GR"/>
        </w:rPr>
        <w:t>τους Δήμους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β. Οι προϋποθέσεις της  παρούσας απαιτείται να συντρέχουν και για τις Περιφέρειες  όπου έχει συσταθεί «Περιφερειακός </w:t>
      </w:r>
      <w:r>
        <w:rPr>
          <w:rFonts w:eastAsia="Times New Roman" w:ascii="Book Antiqua" w:hAnsi="Book Antiqua"/>
          <w:sz w:val="24"/>
          <w:szCs w:val="24"/>
          <w:lang w:eastAsia="el-GR"/>
        </w:rPr>
        <w:t xml:space="preserve">ΦΟΔΣΑ», δυνάμει του άρθρου 13 του ν.4071/2012 και έχει δημοσιευθεί απόφαση συγχώνευσης του άρθρου 16 του ν.4071/2012. </w:t>
      </w:r>
    </w:p>
    <w:p>
      <w:pPr>
        <w:pStyle w:val="ListParagraph"/>
        <w:numPr>
          <w:ilvl w:val="0"/>
          <w:numId w:val="163"/>
        </w:numPr>
        <w:tabs>
          <w:tab w:val="left" w:pos="284" w:leader="none"/>
          <w:tab w:val="left" w:pos="709"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425"/>
        <w:jc w:val="both"/>
        <w:rPr>
          <w:rFonts w:ascii="Book Antiqua" w:hAnsi="Book Antiqua" w:eastAsia="Times New Roman"/>
          <w:color w:val="000000"/>
          <w:sz w:val="24"/>
          <w:szCs w:val="24"/>
          <w:lang w:eastAsia="el-GR"/>
        </w:rPr>
      </w:pPr>
      <w:r>
        <w:rPr>
          <w:rFonts w:ascii="Book Antiqua" w:hAnsi="Book Antiqua"/>
          <w:sz w:val="24"/>
          <w:szCs w:val="24"/>
          <w:lang w:eastAsia="el-GR"/>
        </w:rPr>
        <w:t>α. Στις Περιφέρειες που λειτουργούν πάνω από ένας ΦΟΔΣΑ του παρόντος άρθρου, συστήνονται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Αποβλήτων»(εφεξής «ΦΟ.Σ.ΠΕΣΔΑ») και μέλη,  το σύνολο των Δήμων της οικείας Περιφέρειας με αποκλειστικές αρμοδιότητες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(αα)</w:t>
      </w:r>
      <w:r>
        <w:rPr>
          <w:rFonts w:eastAsia="Times New Roman" w:ascii="Book Antiqua" w:hAnsi="Book Antiqua"/>
          <w:bCs/>
          <w:sz w:val="24"/>
          <w:szCs w:val="24"/>
          <w:lang w:eastAsia="el-GR"/>
        </w:rPr>
        <w:t xml:space="preserve"> </w:t>
      </w:r>
      <w:r>
        <w:rPr>
          <w:rFonts w:eastAsia="Times New Roman" w:ascii="Book Antiqua" w:hAnsi="Book Antiqua"/>
          <w:sz w:val="24"/>
          <w:szCs w:val="24"/>
          <w:lang w:eastAsia="el-GR"/>
        </w:rPr>
        <w:t xml:space="preserve">τη σύνταξη-εκπόνηση ή τροποποίηση του ΠΕΣΔΑ της παρ. 2 του άρθρου 35 του ν. 4042/2012,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(ββ) τη συλλογή από τους ΦΟΔΣΑ της οικείας Περιφέρειας των πληροφοριών και στοιχείων, που επιβάλλεται από την εφαρμογή του Κανονισμού 2150/2001 για τις στατιστικές των αποβλήτων και την αποστολή 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σε εφαρμογή του άρθρου 34 του ν. 4042/2012. </w:t>
      </w:r>
    </w:p>
    <w:p>
      <w:pPr>
        <w:pStyle w:val="Normal"/>
        <w:shd w:val="clear" w:color="auto" w:fill="FFFFFF"/>
        <w:spacing w:lineRule="auto" w:line="360" w:beforeAutospacing="1" w:after="0"/>
        <w:ind w:left="709" w:hanging="0"/>
        <w:jc w:val="both"/>
        <w:rPr>
          <w:rFonts w:ascii="Book Antiqua" w:hAnsi="Book Antiqua" w:eastAsia="Times New Roman"/>
          <w:sz w:val="24"/>
          <w:szCs w:val="24"/>
          <w:highlight w:val="white"/>
          <w:lang w:eastAsia="el-GR"/>
        </w:rPr>
      </w:pPr>
      <w:r>
        <w:rPr>
          <w:rFonts w:eastAsia="Times New Roman" w:ascii="Book Antiqua" w:hAnsi="Book Antiqua"/>
          <w:sz w:val="24"/>
          <w:szCs w:val="24"/>
          <w:shd w:fill="FFFFFF" w:val="clear"/>
          <w:lang w:eastAsia="el-GR"/>
        </w:rPr>
        <w:t>Η απόφαση σύστασης του ΦΟ.Σ.ΠΕΣΔΑ, εκδίδεται από τον Συντονιστή της Αποκεντρωμένης Διοίκησης εντός έξι μηνών από την ολοκλήρωση  των διαδικασιών σύστασης ή προσαρμογής των ΦΟΔΣΑ στις διατάξεις του παρόντος Μέρους 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τις διατάξεις του άρθρου 246 του ν. 3463/2006 (Α΄ 114)όπως κάθε φορά ισχύουν , η έδρα, η διάρκεια και οι πόροι αυτού.</w:t>
      </w:r>
    </w:p>
    <w:p>
      <w:pPr>
        <w:pStyle w:val="Normal"/>
        <w:tabs>
          <w:tab w:val="left" w:pos="8280" w:leader="none"/>
        </w:tabs>
        <w:spacing w:lineRule="auto" w:line="360" w:before="0" w:after="0"/>
        <w:ind w:left="709" w:right="26" w:hanging="0"/>
        <w:jc w:val="both"/>
        <w:rPr>
          <w:rFonts w:ascii="Book Antiqua" w:hAnsi="Book Antiqua" w:eastAsia="Times New Roman"/>
          <w:sz w:val="24"/>
          <w:szCs w:val="24"/>
          <w:highlight w:val="white"/>
          <w:lang w:eastAsia="el-GR"/>
        </w:rPr>
      </w:pPr>
      <w:r>
        <w:rPr>
          <w:rFonts w:eastAsia="Times New Roman" w:ascii="Book Antiqua" w:hAnsi="Book Antiqua"/>
          <w:sz w:val="24"/>
          <w:szCs w:val="24"/>
          <w:lang w:eastAsia="el-GR"/>
        </w:rPr>
        <w:t>Έδρα του ΦΟ.Σ.ΠΕΣΔΑ ορίζεται ο δήμος στον οποίο έχει την έδρα της η οικεία περιφέρεια. Η χρονική διάρκεια λειτουργίας του ορίζεται σε τριάντα έτη και μπορεί να παρατείνεται με απόφαση του Συντονιστή της Αποκεντρωμένης Διοίκησης μετά από γνώμη του διοικητικού συμβουλίου του συνδέσμου.</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shd w:fill="FFFFFF" w:val="clear"/>
          <w:lang w:eastAsia="el-GR"/>
        </w:rPr>
        <w:t xml:space="preserve">Εντός μηνός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και το διοικητικό συμβούλιο συγκροτείται σε σώμα σύμφωνα με τις διατάξεις του άρθρου 246 του ν. 3463/2006,όπως  κάθε φορά ισχύουν. Το διοικητικό συμβούλιο του ΦΟ.Σ.ΠΕΣΔΑ νομίμως συγκροτείται μετά την πάροδο 15 ημερών από τη λήξη της προθεσμίας του προηγούμενου εδαφίου, σύμφωνα με τις διατάξειςτου τελευταίου εδαφίου του άρθρου 6 του άρθρου 246 του ν.3463/2006, όπως κάθε φορά ισχύει.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β. Όργανα διοίκησης του ΦΟ.Σ.ΠΕΣΔΑ, είναι το διοικητικό συμβούλιο και ο πρόεδρός του. </w:t>
      </w:r>
      <w:r>
        <w:rPr>
          <w:rFonts w:eastAsia="Times New Roman" w:ascii="Book Antiqua" w:hAnsi="Book Antiqua"/>
          <w:color w:val="000000"/>
          <w:sz w:val="24"/>
          <w:szCs w:val="24"/>
          <w:lang w:eastAsia="el-GR"/>
        </w:rPr>
        <w:t>Ο πρόεδρος του διοικητικού συμβουλίου έχει τις αρμοδιότητες του δημάρχου και του προέδρου του δημοτικού συμβουλίου: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αα) Εκπροσωπεί το ΦΟ.Σ.ΠΕΣΔΑ στα δικαστήρια και σε κάθε δημόσια αρχή.</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ββ) Eκτελεί τις αποφάσεις του διοικητικού συμβουλίου,  </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γγ) Συγκαλεί και προεδρεύει  του διοικητικού συμβουλίου και συντονίζει την υλοποίηση των αποφάσεών του,</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sz w:val="24"/>
          <w:szCs w:val="24"/>
          <w:lang w:eastAsia="el-GR"/>
        </w:rPr>
        <w:t xml:space="preserve">δδ) </w:t>
      </w:r>
      <w:r>
        <w:rPr>
          <w:rFonts w:eastAsia="Times New Roman" w:cs="Arial" w:ascii="Book Antiqua" w:hAnsi="Book Antiqua"/>
          <w:color w:val="000000"/>
          <w:sz w:val="24"/>
          <w:szCs w:val="24"/>
          <w:lang w:eastAsia="el-GR"/>
        </w:rPr>
        <w:t>Είναι προϊστάμενος των υπηρεσιών του ΦΟ.Σ.ΠΕΔΣΑ</w:t>
      </w:r>
      <w:r>
        <w:rPr>
          <w:rFonts w:eastAsia="Times New Roman" w:cs="Arial" w:ascii="Book Antiqua" w:hAnsi="Book Antiqua"/>
          <w:color w:val="FF0000"/>
          <w:sz w:val="24"/>
          <w:szCs w:val="24"/>
          <w:lang w:eastAsia="el-GR"/>
        </w:rPr>
        <w:t xml:space="preserve"> </w:t>
      </w:r>
      <w:r>
        <w:rPr>
          <w:rFonts w:eastAsia="Times New Roman" w:cs="Arial" w:ascii="Book Antiqua" w:hAnsi="Book Antiqua"/>
          <w:sz w:val="24"/>
          <w:szCs w:val="24"/>
          <w:lang w:eastAsia="el-GR"/>
        </w:rPr>
        <w:t>και εκδίδει</w:t>
      </w:r>
      <w:r>
        <w:rPr>
          <w:rFonts w:eastAsia="Times New Roman" w:cs="Arial" w:ascii="Book Antiqua" w:hAnsi="Book Antiqua"/>
          <w:color w:val="000000"/>
          <w:sz w:val="24"/>
          <w:szCs w:val="24"/>
          <w:lang w:eastAsia="el-GR"/>
        </w:rPr>
        <w:t xml:space="preserve"> τις πράξεις που προβλέπουν οι σχετικές διατάξεις για το διορισμό, τις κάθε είδους υπηρεσιακές μεταβολές και την άσκηση του πειθαρχικού ελέγχου,</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εε)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 xml:space="preserve">στστ) Υπογράφει τις συμβάσεις που συνάπτει ο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ζζ)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pPr>
        <w:pStyle w:val="Normal"/>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ηη) Μπορεί να αναθέτει, χωρίς αμοιβή, την εποπτεία και το συντονισμό συγκεκριμένων δράσεων του ΦΟ.Σ.ΠΕΔΣΑ  σε μέλη του διοικητικού συμβουλίου,</w:t>
      </w:r>
    </w:p>
    <w:p>
      <w:pPr>
        <w:pStyle w:val="Normal"/>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color w:val="000000"/>
          <w:sz w:val="24"/>
          <w:szCs w:val="24"/>
          <w:lang w:eastAsia="el-GR"/>
        </w:rPr>
        <w:t>θθ)</w:t>
      </w:r>
      <w:r>
        <w:rPr>
          <w:rFonts w:eastAsia="Times New Roman" w:ascii="Book Antiqua" w:hAnsi="Book Antiqua"/>
          <w:color w:val="000000"/>
          <w:sz w:val="24"/>
          <w:szCs w:val="24"/>
          <w:lang w:eastAsia="el-GR"/>
        </w:rPr>
        <w:t xml:space="preserve"> Ασκεί τις αρμοδιότητες που του ανατίθενται από το νόμο ή άλλες κανονιστικές πράξεις, καθώς και από αποφάσεις του διοικητικού συμβουλίου</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 </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Το διοικητικό συμβούλιο του ΦΟ.Σ.ΠΕΣΔΑ ασκεί κάθε αρμοδιότητα του συνδέσμου εκτός από εκείνες που ανήκουν στον Πρόεδρο. </w:t>
      </w:r>
      <w:r>
        <w:rPr>
          <w:rFonts w:eastAsia="Times New Roman" w:ascii="Book Antiqua" w:hAnsi="Book Antiqua"/>
          <w:sz w:val="24"/>
          <w:szCs w:val="24"/>
          <w:lang w:eastAsia="el-GR"/>
        </w:rPr>
        <w:t>Με Κοινή Απόφαση του Υπουργού Εσωτερικών και Περιβάλλοντος και Ενέργειας δύναται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w:t>
      </w:r>
      <w:r>
        <w:rPr>
          <w:rFonts w:eastAsia="Times New Roman" w:ascii="Book Antiqua" w:hAnsi="Book Antiqua"/>
          <w:color w:val="000000"/>
          <w:sz w:val="24"/>
          <w:szCs w:val="24"/>
          <w:lang w:eastAsia="el-GR"/>
        </w:rPr>
        <w:t xml:space="preserve"> Για τα λοιπά θέματα που αφορούν στη διοίκηση και λειτουργία του ΦΟ.Σ.ΠΕΣΔΑ εφαρμόζονται αναλόγως, οι περί συνδέσμων διατάξεις του ν. 3463/2006, όπως ισχύουν. </w:t>
      </w:r>
      <w:r>
        <w:rPr>
          <w:rFonts w:eastAsia="Times New Roman" w:ascii="Book Antiqua" w:hAnsi="Book Antiqua"/>
          <w:sz w:val="24"/>
          <w:szCs w:val="24"/>
          <w:lang w:eastAsia="el-GR"/>
        </w:rPr>
        <w:t xml:space="preserve"> </w:t>
      </w:r>
    </w:p>
    <w:p>
      <w:pPr>
        <w:pStyle w:val="ListParagraph"/>
        <w:numPr>
          <w:ilvl w:val="0"/>
          <w:numId w:val="163"/>
        </w:numPr>
        <w:shd w:val="clear" w:color="auto" w:fill="FFFFFF"/>
        <w:spacing w:lineRule="auto" w:line="360" w:beforeAutospacing="1" w:after="0"/>
        <w:ind w:left="709" w:hanging="425"/>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ΦΟΔΣΑ με τη νομική μορφή του συνδέσμου, δύναται να μετατραπεί σε ανώνυμη εταιρεία του άρθρου 265 του ν. 3463/2006 και αντίστοιχα από Α.Ε. του άρθρου 265 του ν. 3463/2006 σε Σύνδεσμο, εφόσον τούτο αποφασισθεί από τα δημοτικά συμβούλια των δήμων μελών του που αντιστοιχούν σε ποσοστό 60% του πληθυσμού του συνόλου των δήμων – μελών. Για τη μεταβολή της νομικής μορφής των ΦΟΔΣΑ, που συστήνονται μετά από την έναρξη ισχύος του παρόντος, σύμφωνα με το άρθρο 230,  πρέπει να παρέλθει μία πλήρης δημοτική θητεία πλέον της τρέχουσας. Στην περίπτωση αυτή εφαρμόζονται αναλόγως οι διατάξεις του άρθρου 230 που αφορούν στο προσωπικό. Η σχετική απόφαση κάθε δημοτικού συμβουλίου, της προηγούμενης παραγράφου,  λαμβάνεται με την απόλυτη πλειοψηφία του συνόλου των μελών του. 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στα οποία περιλαμβάνονται και όσα προκύπτουν από συμβάσεις έργου.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Cs/>
          <w:sz w:val="24"/>
          <w:szCs w:val="24"/>
          <w:lang w:eastAsia="el-GR"/>
        </w:rPr>
      </w:pPr>
      <w:r>
        <w:rPr>
          <w:rFonts w:eastAsia="Times New Roman" w:ascii="Book Antiqua" w:hAnsi="Book Antiqua"/>
          <w:bCs/>
          <w:sz w:val="24"/>
          <w:szCs w:val="24"/>
          <w:lang w:eastAsia="el-GR"/>
        </w:rPr>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211</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Διαχείριση των στερεών αποβλήτων στα νησιά</w:t>
      </w:r>
    </w:p>
    <w:p>
      <w:pPr>
        <w:pStyle w:val="ListParagraph"/>
        <w:numPr>
          <w:ilvl w:val="0"/>
          <w:numId w:val="16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Στα νησιά οι αρμοδιότητες του άρθρου 212 ασκούνται από τις υπηρεσίες των Δήμων. Οι ΦΟΔΣΑ νήσων που έχουν συσταθεί σύμφωνα με τις διατάξεις της προϊσχύουσας νομοθεσίας και λειτουργούν ως τέτοιοι, κατά τη δημοσίευση του παρόντος, καταργούνται ή λύονται και τ</w:t>
      </w:r>
      <w:r>
        <w:rPr>
          <w:rFonts w:eastAsia="Times New Roman" w:ascii="Book Antiqua" w:hAnsi="Book Antiqua"/>
          <w:sz w:val="24"/>
          <w:szCs w:val="24"/>
          <w:lang w:val="en-US" w:eastAsia="el-GR"/>
        </w:rPr>
        <w:t>o</w:t>
      </w:r>
      <w:r>
        <w:rPr>
          <w:rFonts w:eastAsia="Times New Roman" w:ascii="Book Antiqua" w:hAnsi="Book Antiqua"/>
          <w:sz w:val="24"/>
          <w:szCs w:val="24"/>
          <w:lang w:eastAsia="el-GR"/>
        </w:rPr>
        <w:t xml:space="preserve"> προσωπικό μεταφέρεται αυτοδικαίως στους οικείους Δήμους, με την επιφύλαξη της παρ.3. </w:t>
      </w:r>
    </w:p>
    <w:p>
      <w:pPr>
        <w:pStyle w:val="ListParagraph"/>
        <w:numPr>
          <w:ilvl w:val="0"/>
          <w:numId w:val="16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Για την άσκηση των αρμοδιοτήτων του άρθρου 212, οι οικείοι Δήμοι δύνανται να συνάπτουν συμβάσεις διαδημοτικής συνεργασίας του άρθρου 99 του ν.3852/2010 ή προγραμματικές συμβάσεις του άρθρου 100 του ν. 3852/2010 με γειτονικούς νησιωτικούς Δήμους. </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Για την άσκηση των αρμοδιοτήτων του άρθρου 212 , οι ΦΟΔΣΑ που έχουν συσταθεί από περισσότερους του ενός νησιωτικούς Δήμους, δύνανται να συνεχίζουν τη λειτουργία τους ως έχει ή να καταργηθούν ή λυθούν με απόφαση του αρμοδίου οργάνου διοίκησης εντός τριών μηνών από τη δημοσίευση του παρόντος.</w:t>
      </w:r>
    </w:p>
    <w:p>
      <w:pPr>
        <w:pStyle w:val="ListParagraph"/>
        <w:numPr>
          <w:ilvl w:val="0"/>
          <w:numId w:val="16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20" w:right="26" w:hanging="360"/>
        <w:jc w:val="both"/>
        <w:rPr>
          <w:rFonts w:ascii="Book Antiqua" w:hAnsi="Book Antiqua" w:eastAsia="Times New Roman"/>
          <w:sz w:val="24"/>
          <w:szCs w:val="24"/>
          <w:lang w:eastAsia="ar-SA"/>
        </w:rPr>
      </w:pPr>
      <w:r>
        <w:rPr>
          <w:rFonts w:eastAsia="Times New Roman" w:ascii="Book Antiqua" w:hAnsi="Book Antiqua"/>
          <w:sz w:val="24"/>
          <w:szCs w:val="24"/>
          <w:lang w:eastAsia="ar-SA"/>
        </w:rPr>
        <w:t>Οι ΦΟΔΣΑ με μέλος ένα μόνον Δήμο, καταργούνται ή λύονται και οι αρμοδιότητες τους μεταφέρονται και ασκούνται από τις υπηρεσίες του οικείου Δήμου.</w:t>
      </w:r>
      <w:r>
        <w:rPr>
          <w:rFonts w:eastAsia="Times New Roman" w:ascii="Book Antiqua" w:hAnsi="Book Antiqua"/>
          <w:sz w:val="24"/>
          <w:szCs w:val="24"/>
          <w:lang w:eastAsia="el-GR"/>
        </w:rPr>
        <w:t xml:space="preserve"> </w:t>
      </w:r>
      <w:r>
        <w:rPr>
          <w:rFonts w:eastAsia="Times New Roman" w:ascii="Book Antiqua" w:hAnsi="Book Antiqua"/>
          <w:sz w:val="24"/>
          <w:szCs w:val="24"/>
          <w:lang w:eastAsia="ar-SA"/>
        </w:rPr>
        <w:t xml:space="preserve">Με απόφαση του Διοικητικού Συμβουλίου του καταργούμενου ή υπό λύση νομικού προσώπου εντός ενός (1) μηνός από την δημοσίευση του παρόντος, ορίζεται ορκωτός ελεγκτής-λογιστής, ο οποίος διενεργεί την απογραφή – καταγραφή και αποτίμηση των πάσης φύσεως περιουσιακών τους στοιχείων.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Ο ορκωτός ελεγκτής-λογιστής ολοκληρώνει το έργο της απογραφής εντός προθεσμίας έξι (6) μηνών από την ημερομηνία ορισμού του.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Η έκθεση απογραφής αποστέλλεται άμεσα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στον οικείο δήμο. Η απόφαση αυτή δημοσιεύεται στην Εφημερίδα της Κυβέρνησης.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Από την δημοσίευση της απόφασης αυτής ο δήμος καθίσταται καθολικός διάδοχος της κινητής και ακίνητης περιουσίας του νομικού προσώπου που καταργείται ή λύεται και υπεισέρχεται σε όλα τα δικαιώματα και τις υποχρεώσεις αυτού, συμπεριλαμβανομένων κάθε είδους συμβάσεων.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Οι δήμοι έχουν την ευθύνη για την διαφύλαξη και την διαχείριση του τυχόν υπάρχοντος αρχείου.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Για την απόδοση των περιουσιακών στοιχείων συντάσσεται πρωτόκολλο παράδοσης-παραλαβής.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Εκκρεμείς δίκες που υφίστανται κατά την κατάργηση ή λύση των ΦΟΔΣΑ συνεχίζονται από τον οικείο Δήμο χωρίς να επέρχεται βίαια διακοπή αυτών.</w:t>
      </w:r>
    </w:p>
    <w:p>
      <w:pPr>
        <w:pStyle w:val="Normal"/>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Στην περίπτωση της παρ.3, με την απόφαση του Διοικητικού Συμβουλίου του νομικού προσώπου περί κατάργησης ή λύσης αυτού ορίζεται ορκωτός ελεγκτής-λογιστής ο οποίος διενεργεί την απογραφή – καταγραφή και αποτίμηση των πάσης φύσεως περιουσιακών στοιχείων του νομικού προσώπου. Ο ορκωτός ελεγκτής-λογιστής ολοκληρώνει το έργο της απογραφής εντός προθεσμίας έξι (6) μηνών από την ημερομηνία ορισμού του.</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ακολούθως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 Τα ακίνητα καθώς και κάθε εμπράγματο δικαίωμα επί των ακινήτων μεταβιβάζονται στον δήμο στα διοικητικά όρια εντός του οποίου βρίσκονται. Τυχόν διαφορές που προκύπτουν στην αξία αυτών κατά την αποτίμηση λαμβάνονται υπόψη στην κατανομή των υπολοίπων στοιχείων του ενεργητικού ή των υποχρεώσεων κατά τα οριζόμενα στην περ. β. Στην περίπτωση που τα στοιχεία αυτά δεν επαρκούν, το υπόλοιπο της διαφοράς καλύπτεται με αποδόσεις σε χρήμα από τον ωφελούμενο δήμο.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(β) Για τη μεταβίβαση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προσώπων ιδιωτικού δικαίου το ποσοστό συμμετοχής των μελών στο μετοχικό τους κεφάλαιο, καθώς και η αποτίμηση της αξίας τους, όπως αυτή προκύπτει από την σχετική έκθεση του ορκωτού ελεγκτή-λογιστή.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Η έκθεση απογραφής-καταγραφής και αποτίμησης και η απόφαση κατανομής των περιουσιακών στοιχείων της παρ.5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στους οικείους Δήμους. Η απόφαση αυτή δημοσιεύεται στην εφημερίδα της Κυβέρνησης.</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Από την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σε όλα τα δικαιώματα και τις υποχρεώσεις αυτού. Οι δήμοι έχουν την ευθύνη για την διαφύλαξη και την διαχείριση του τυχόν υπάρχοντος αρχείου.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Για την απόδοση των περιουσιακών στοιχείων συντάσσεται πρωτόκολλο παράδοσης-παραλαβής.</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Εκκρεμείς δίκες που υφίστανται κατά την κατάργηση των ΦΟΔΣΑ συνεχίζονται από τους οικείους Δήμους χωρίς να επέρχεται βίαια διακοπή αυτών.</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Η αμοιβή του ορκωτού ελεγκτή-λογιστή βαρύνει τον προϋπολογισμό των νομικών προσώπων που καταργούνται.</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Στις περιπτώσεις λύσης νομικών προσώπων ιδιωτικού δικαίου δεν έπεται στάδιο  εκκαθάρισης.</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Μέχρι την δημοσίευση της απόφασης του Συντονιστή της οικείας Αποκεντρωμένης Διοίκησης,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νομίμως ασκούσαν πριν τη δημοσίευση του παρόντος. </w:t>
      </w:r>
    </w:p>
    <w:p>
      <w:pPr>
        <w:pStyle w:val="ListParagraph"/>
        <w:numPr>
          <w:ilvl w:val="0"/>
          <w:numId w:val="164"/>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Στις νησιωτικές Περιφέρειες, πλην της Περιφέρειας Κρήτης, συνιστάται υποχρεωτικά Φορέας Σχεδιασμού ΠΕΣΔΑ (ΦΟ.Σ.ΠΕΣΔΑ), σύμφωνα με τις διατάξεις του άρθρου 210 παρ 5 του παρόντος Μέρους.</w:t>
      </w:r>
    </w:p>
    <w:p>
      <w:pPr>
        <w:pStyle w:val="ListParagraph"/>
        <w:numPr>
          <w:ilvl w:val="0"/>
          <w:numId w:val="164"/>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Για τα νησιά που βρίσκονται εντός των διοικητικών ορίων ηπειρωτικής Περιφέρειας, πλην της Περιφερειας Αττικής,το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τροποποίησης του, στα διοικητικά όργανα των οποίων, για τη λήψη των σχετικών αποφάσεων, συμμετέχουν σύμφωνα με τις διατάξεις του παροντος οι νησιωτικοί ΟΤΑ. Οι Δήμοι του προηγούμενου εδαφίου δύνανται να επιλέξουν την ένταξή τους στους ΦΟΔΣΑ του άρθρου 210.</w:t>
      </w:r>
    </w:p>
    <w:p>
      <w:pPr>
        <w:pStyle w:val="Normal"/>
        <w:spacing w:lineRule="auto" w:line="360" w:before="0" w:after="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jc w:val="both"/>
        <w:rPr>
          <w:rFonts w:ascii="Book Antiqua" w:hAnsi="Book Antiqua"/>
          <w:sz w:val="24"/>
          <w:szCs w:val="24"/>
          <w:lang w:eastAsia="el-GR"/>
        </w:rPr>
      </w:pPr>
      <w:r>
        <w:rPr>
          <w:rFonts w:ascii="Book Antiqua" w:hAnsi="Book Antiqua"/>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212</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rPr>
      </w:pPr>
      <w:r>
        <w:rPr>
          <w:rFonts w:eastAsia="Times New Roman" w:ascii="Book Antiqua" w:hAnsi="Book Antiqua"/>
          <w:b/>
          <w:bCs/>
          <w:sz w:val="24"/>
          <w:szCs w:val="24"/>
        </w:rPr>
        <w:t xml:space="preserve">   </w:t>
      </w:r>
      <w:r>
        <w:rPr>
          <w:rFonts w:eastAsia="Times New Roman" w:ascii="Book Antiqua" w:hAnsi="Book Antiqua"/>
          <w:b/>
          <w:bCs/>
          <w:sz w:val="24"/>
          <w:szCs w:val="24"/>
        </w:rPr>
        <w:t xml:space="preserve">Αρμοδιότητες ΦΟΔΣΑ </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rPr>
      </w:pPr>
      <w:r>
        <w:rPr>
          <w:rFonts w:eastAsia="Times New Roman" w:ascii="Book Antiqua" w:hAnsi="Book Antiqua"/>
          <w:b/>
          <w:bCs/>
          <w:sz w:val="24"/>
          <w:szCs w:val="24"/>
        </w:rPr>
      </w:r>
    </w:p>
    <w:p>
      <w:pPr>
        <w:pStyle w:val="ListParagraph"/>
        <w:numPr>
          <w:ilvl w:val="0"/>
          <w:numId w:val="165"/>
        </w:numPr>
        <w:spacing w:lineRule="auto" w:line="360" w:before="0" w:after="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ΦΟΔΣΑ είναι αρμόδιοι για:</w:t>
      </w:r>
    </w:p>
    <w:p>
      <w:pPr>
        <w:pStyle w:val="Normal"/>
        <w:spacing w:lineRule="auto" w:line="360" w:before="0" w:after="0"/>
        <w:ind w:left="709" w:hanging="0"/>
        <w:jc w:val="both"/>
        <w:rPr>
          <w:rFonts w:ascii="Book Antiqua" w:hAnsi="Book Antiqua"/>
          <w:color w:val="000000"/>
          <w:sz w:val="24"/>
          <w:szCs w:val="24"/>
          <w:lang w:eastAsia="el-GR"/>
        </w:rPr>
      </w:pPr>
      <w:r>
        <w:rPr>
          <w:rFonts w:ascii="Book Antiqua" w:hAnsi="Book Antiqua"/>
          <w:color w:val="000000"/>
          <w:sz w:val="24"/>
          <w:szCs w:val="24"/>
          <w:lang w:eastAsia="el-GR"/>
        </w:rPr>
        <w:t>α. την υλοποίηση μέτρων και έργων που προωθούν την ιεράρχηση των δράσεων και των εργασιών διαχείρισης σύμφωνα με το αρ. 29 του ν.4042/2012 (Α’24),</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β. την εκπόνηση προγραμμάτων πρόληψης-μείωσης παραγωγής αποβλήτων</w:t>
      </w:r>
    </w:p>
    <w:p>
      <w:pPr>
        <w:pStyle w:val="Normal"/>
        <w:spacing w:lineRule="auto" w:line="360" w:before="0" w:after="0"/>
        <w:ind w:left="709" w:hanging="0"/>
        <w:jc w:val="both"/>
        <w:rPr>
          <w:rFonts w:ascii="Book Antiqua" w:hAnsi="Book Antiqua"/>
          <w:sz w:val="24"/>
          <w:szCs w:val="24"/>
          <w:highlight w:val="yellow"/>
          <w:lang w:eastAsia="el-GR"/>
        </w:rPr>
      </w:pPr>
      <w:r>
        <w:rPr>
          <w:rFonts w:ascii="Book Antiqua" w:hAnsi="Book Antiqua"/>
          <w:color w:val="000000"/>
          <w:sz w:val="24"/>
          <w:szCs w:val="24"/>
          <w:lang w:eastAsia="el-GR"/>
        </w:rPr>
        <w:t>γ. τη μεταφόρτωση και επεξεργασία των στερεών αποβλήτων.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r>
        <w:rPr>
          <w:rFonts w:ascii="Book Antiqua" w:hAnsi="Book Antiqua"/>
          <w:sz w:val="24"/>
          <w:szCs w:val="24"/>
          <w:shd w:fill="FFFF00" w:val="clear"/>
          <w:lang w:eastAsia="el-GR"/>
        </w:rPr>
        <w:t xml:space="preserve"> </w:t>
      </w:r>
    </w:p>
    <w:p>
      <w:pPr>
        <w:pStyle w:val="Normal"/>
        <w:spacing w:lineRule="auto" w:line="360" w:before="0" w:after="0"/>
        <w:ind w:left="709" w:hanging="0"/>
        <w:jc w:val="both"/>
        <w:rPr>
          <w:rFonts w:ascii="Book Antiqua" w:hAnsi="Book Antiqua"/>
          <w:sz w:val="24"/>
          <w:szCs w:val="24"/>
          <w:lang w:eastAsia="el-GR"/>
        </w:rPr>
      </w:pPr>
      <w:r>
        <w:rPr>
          <w:rFonts w:ascii="Book Antiqua" w:hAnsi="Book Antiqua"/>
          <w:color w:val="000000"/>
          <w:sz w:val="24"/>
          <w:szCs w:val="24"/>
          <w:lang w:eastAsia="el-GR"/>
        </w:rPr>
        <w:t>δ.</w:t>
      </w:r>
      <w:r>
        <w:rPr>
          <w:rFonts w:ascii="Book Antiqua" w:hAnsi="Book Antiqua"/>
          <w:color w:val="000000"/>
          <w:sz w:val="24"/>
          <w:szCs w:val="24"/>
          <w:lang w:val="en-GB" w:eastAsia="el-GR"/>
        </w:rPr>
        <w:t> </w:t>
      </w:r>
      <w:r>
        <w:rPr>
          <w:rFonts w:ascii="Book Antiqua" w:hAnsi="Book Antiqua"/>
          <w:color w:val="000000"/>
          <w:sz w:val="24"/>
          <w:szCs w:val="24"/>
          <w:lang w:eastAsia="el-GR"/>
        </w:rPr>
        <w:t xml:space="preserve"> τη </w:t>
      </w:r>
      <w:r>
        <w:rPr>
          <w:rFonts w:ascii="Book Antiqua" w:hAnsi="Book Antiqua"/>
          <w:sz w:val="24"/>
          <w:szCs w:val="24"/>
          <w:lang w:eastAsia="el-GR"/>
        </w:rPr>
        <w:t>λειτουργία εγκαταστάσεων διαχείρισης αστικών αποβλήτων σύμφωνα με το οικείο ΠΕΣΔΑ,</w:t>
      </w:r>
    </w:p>
    <w:p>
      <w:pPr>
        <w:pStyle w:val="Normal"/>
        <w:spacing w:lineRule="auto" w:line="360" w:before="0" w:after="0"/>
        <w:ind w:left="709" w:hanging="0"/>
        <w:jc w:val="both"/>
        <w:rPr>
          <w:rFonts w:ascii="Book Antiqua" w:hAnsi="Book Antiqua"/>
          <w:color w:val="000000"/>
          <w:sz w:val="24"/>
          <w:szCs w:val="24"/>
          <w:lang w:eastAsia="el-GR"/>
        </w:rPr>
      </w:pPr>
      <w:r>
        <w:rPr>
          <w:rFonts w:ascii="Book Antiqua" w:hAnsi="Book Antiqua"/>
          <w:color w:val="000000"/>
          <w:sz w:val="24"/>
          <w:szCs w:val="24"/>
          <w:lang w:eastAsia="el-GR"/>
        </w:rPr>
        <w:t>ε. την υγειονομική ταφή της περ. ζ και τη λειτουργία χώρων της περ. η του άρθρου 2 της ΥΑ Η.Π29407/3508/2002</w:t>
      </w:r>
      <w:r>
        <w:rPr>
          <w:rFonts w:ascii="Book Antiqua" w:hAnsi="Book Antiqua"/>
          <w:color w:val="000000"/>
          <w:sz w:val="24"/>
          <w:szCs w:val="24"/>
          <w:lang w:val="en-GB" w:eastAsia="el-GR"/>
        </w:rPr>
        <w:t> </w:t>
      </w:r>
      <w:r>
        <w:rPr>
          <w:rFonts w:ascii="Book Antiqua" w:hAnsi="Book Antiqua"/>
          <w:color w:val="000000"/>
          <w:sz w:val="24"/>
          <w:szCs w:val="24"/>
          <w:lang w:eastAsia="el-GR"/>
        </w:rPr>
        <w:t>(Β΄1572)</w:t>
      </w:r>
      <w:r>
        <w:rPr>
          <w:rFonts w:ascii="Book Antiqua" w:hAnsi="Book Antiqua"/>
          <w:color w:val="000000"/>
          <w:sz w:val="24"/>
          <w:szCs w:val="24"/>
          <w:lang w:val="en-GB" w:eastAsia="el-GR"/>
        </w:rPr>
        <w:t> </w:t>
      </w:r>
      <w:r>
        <w:rPr>
          <w:rFonts w:ascii="Book Antiqua" w:hAnsi="Book Antiqua"/>
          <w:color w:val="000000"/>
          <w:sz w:val="24"/>
          <w:szCs w:val="24"/>
          <w:lang w:eastAsia="el-GR"/>
        </w:rPr>
        <w:t>για  τα αστικά απόβλητα, για την οποία έχουν και την αποκλειστική αρμοδιότητα, με δυνατότητα αποδοχής και λοιπών στερεών μη επικινδύνων καθώς και επικινδύνων αποβλήτων,</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στ. τη μηχανική - βιολογική επεξεργασία σύμμεικτων αστικών αποβλήτων, της παρ.5 του άρθρου 1 της ΥΑ</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οικ.56366/4351</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ΦΕΚ</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Β</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3339</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2014 για την οποία έχουν την αποκλειστική αρμοδιότητα,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ζ.</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την επιστημονική και τεχνική υποστήριξη των </w:t>
      </w:r>
      <w:r>
        <w:rPr>
          <w:rFonts w:eastAsia="Times New Roman" w:ascii="Book Antiqua" w:hAnsi="Book Antiqua"/>
          <w:sz w:val="24"/>
          <w:szCs w:val="24"/>
          <w:lang w:eastAsia="el-GR"/>
        </w:rPr>
        <w:t xml:space="preserve">ΟΤΑ α’ βαθμού </w:t>
      </w:r>
      <w:r>
        <w:rPr>
          <w:rFonts w:eastAsia="Times New Roman" w:ascii="Book Antiqua" w:hAnsi="Book Antiqua"/>
          <w:color w:val="000000"/>
          <w:sz w:val="24"/>
          <w:szCs w:val="24"/>
          <w:lang w:eastAsia="el-GR"/>
        </w:rPr>
        <w:t>στο σχεδιασμό την υλοποίηση και την δημιουργία δράσεων και έργων</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η. την παρακολούθηση και εξειδίκευση της υλοποίησης των στόχων και των δράσεων του ΠΕΣΔΑ,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θ. την παρακολούθηση της ιχνηλασιμότητας όλων των παραγόμενων αποβλήτων στην περιοχή ευθύνης τους μέσω του Ηλεκτρονικού Μητρώου Αποβλήτων (ΗΜΑ),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 την εκπόνηση του επιχειρησιακού σχεδίου δράσης και τον προσδιορισμό της τιμολογιακής πολιτικής προς τους ΟΤΑ α’ βαθμού, σε ετήσια βάση,</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ια.</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 συλλογή των στοιχείων που επιβάλλεται σε εφαρμογή του Κανονισμού 2150/2002 για τις στατιστικές των αποβλήτων και την αποστολή </w:t>
      </w:r>
      <w:r>
        <w:rPr>
          <w:rFonts w:eastAsia="Times New Roman" w:ascii="Book Antiqua" w:hAnsi="Book Antiqua"/>
          <w:sz w:val="24"/>
          <w:szCs w:val="24"/>
          <w:lang w:eastAsia="el-GR"/>
        </w:rPr>
        <w:t xml:space="preserve">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ή στο νπδδ της παρ. 5 του άρθρου 210.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ιβ. την </w:t>
      </w:r>
      <w:r>
        <w:rPr>
          <w:rFonts w:eastAsia="Times New Roman" w:ascii="Book Antiqua" w:hAnsi="Book Antiqua"/>
          <w:sz w:val="24"/>
          <w:szCs w:val="24"/>
          <w:lang w:eastAsia="el-GR"/>
        </w:rPr>
        <w:t xml:space="preserve">προετοιμασία των έργων και την εκπόνηση των απαραίτητων μελετών και την υλοποίηση δράσεων για την επεξεργασία αποβλήτων της περιοχής ευθύνης τους σύμφωνα με το ΠΕΣΔΑ και την </w:t>
      </w:r>
      <w:r>
        <w:rPr>
          <w:rFonts w:eastAsia="Times New Roman" w:ascii="Book Antiqua" w:hAnsi="Book Antiqua"/>
          <w:color w:val="000000"/>
          <w:sz w:val="24"/>
          <w:szCs w:val="24"/>
          <w:lang w:eastAsia="el-GR"/>
        </w:rPr>
        <w:t>υποβολή αιτήσεων σε επιχειρησιακά προγράμματα για χρηματοδότηση ως τελικός δικαιούχος</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ιγ</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την προώθηση δράσεων και την υλοποίηση έργων που συμβάλλουν στην κυκλική οικονομία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ιδ. την παροχή στους ΟΤΑ συνδρομής </w:t>
      </w:r>
      <w:r>
        <w:rPr>
          <w:rFonts w:eastAsia="Times New Roman" w:ascii="Book Antiqua" w:hAnsi="Book Antiqua"/>
          <w:sz w:val="24"/>
          <w:szCs w:val="24"/>
          <w:lang w:eastAsia="el-GR"/>
        </w:rPr>
        <w:t xml:space="preserve">για την εξάλειψη της </w:t>
      </w:r>
      <w:r>
        <w:rPr>
          <w:rFonts w:eastAsia="Times New Roman" w:ascii="Book Antiqua" w:hAnsi="Book Antiqua"/>
          <w:color w:val="000000"/>
          <w:sz w:val="24"/>
          <w:szCs w:val="24"/>
          <w:lang w:eastAsia="el-GR"/>
        </w:rPr>
        <w:t xml:space="preserve">ανεξέλεγκτης διάθεσης και την αποκατάσταση των υφιστάμενων ΧΑΔΑ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ιε. την τήρηση </w:t>
      </w:r>
      <w:r>
        <w:rPr>
          <w:rFonts w:eastAsia="Times New Roman" w:ascii="Book Antiqua" w:hAnsi="Book Antiqua"/>
          <w:sz w:val="24"/>
          <w:szCs w:val="24"/>
          <w:lang w:eastAsia="el-GR"/>
        </w:rPr>
        <w:t xml:space="preserve">των απολογιστικών στοιχείων παραγωγής αποβλήτων της περιοχής ευθύνης τους από τους ΟΤΑ α’ βαθμού και απολογιστικά στοιχεία λειτουργίας του συνόλου των </w:t>
      </w:r>
      <w:r>
        <w:rPr>
          <w:rFonts w:eastAsia="Times New Roman" w:ascii="Book Antiqua" w:hAnsi="Book Antiqua"/>
          <w:color w:val="000000"/>
          <w:sz w:val="24"/>
          <w:szCs w:val="24"/>
          <w:lang w:eastAsia="el-GR"/>
        </w:rPr>
        <w:t>έργων και εγκαταστάσεων διαχείρισης απορριμμάτων</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w:t>
      </w:r>
      <w:r>
        <w:rPr>
          <w:rFonts w:eastAsia="Times New Roman" w:ascii="Book Antiqua" w:hAnsi="Book Antiqua"/>
          <w:sz w:val="24"/>
          <w:szCs w:val="24"/>
          <w:lang w:eastAsia="el-GR"/>
        </w:rPr>
        <w:t xml:space="preserve">αναγκαία την αναθεώρηση του ΠΕΣΔΑ. Η ανωτέρω έκθεση κοινοποιείται στο Υπουργείο Περιβάλλοντος και Ενέργειας και στο Υπουργείο Εσωτερικών. </w:t>
      </w:r>
    </w:p>
    <w:p>
      <w:pPr>
        <w:pStyle w:val="ListParagraph"/>
        <w:numPr>
          <w:ilvl w:val="0"/>
          <w:numId w:val="165"/>
        </w:numPr>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Στην περίπτωση που λειτουργεί μόνον ένας ΦΟΔΣΑ του άρθρου 2</w:t>
      </w:r>
      <w:r>
        <w:rPr>
          <w:rFonts w:eastAsia="Times New Roman" w:ascii="Book Antiqua" w:hAnsi="Book Antiqua"/>
          <w:sz w:val="24"/>
          <w:szCs w:val="24"/>
          <w:lang w:eastAsia="el-GR"/>
        </w:rPr>
        <w:t>10 εντός των ορίων μίας Περιφέρειας, αυτός έχει την αρμοδιότητα της εκπόνησης</w:t>
      </w:r>
      <w:r>
        <w:rPr>
          <w:rFonts w:eastAsia="Times New Roman" w:ascii="Book Antiqua" w:hAnsi="Book Antiqua"/>
          <w:color w:val="000000"/>
          <w:sz w:val="24"/>
          <w:szCs w:val="24"/>
          <w:lang w:eastAsia="el-GR"/>
        </w:rPr>
        <w:t xml:space="preserve"> και υλοποίησης του Περιφερειακού Σχεδίου Διαχείρισης Αποβλήτων (ΠΕΣΔΑ) της εν λόγω Περιφέρειας, σύμφωνα </w:t>
      </w:r>
      <w:r>
        <w:rPr>
          <w:rFonts w:eastAsia="Times New Roman" w:ascii="Book Antiqua" w:hAnsi="Book Antiqua"/>
          <w:sz w:val="24"/>
          <w:szCs w:val="24"/>
          <w:lang w:eastAsia="el-GR"/>
        </w:rPr>
        <w:t>με τις διατάξεις του άρθρο 35 του ν.4042/2012</w:t>
      </w:r>
      <w:r>
        <w:rPr>
          <w:rFonts w:eastAsia="Times New Roman" w:ascii="Book Antiqua" w:hAnsi="Book Antiqua"/>
          <w:color w:val="000000"/>
          <w:sz w:val="24"/>
          <w:szCs w:val="24"/>
          <w:lang w:eastAsia="el-GR"/>
        </w:rPr>
        <w:t xml:space="preserve">. </w:t>
      </w:r>
      <w:r>
        <w:rPr>
          <w:rFonts w:eastAsia="Times New Roman" w:ascii="Book Antiqua" w:hAnsi="Book Antiqua"/>
          <w:sz w:val="24"/>
          <w:szCs w:val="24"/>
          <w:lang w:val="en-GB" w:eastAsia="el-GR"/>
        </w:rPr>
        <w:t>  </w:t>
      </w:r>
    </w:p>
    <w:p>
      <w:pPr>
        <w:pStyle w:val="Normal"/>
        <w:spacing w:lineRule="auto" w:line="360" w:before="0" w:after="0"/>
        <w:ind w:left="786" w:right="26" w:hanging="0"/>
        <w:jc w:val="both"/>
        <w:rPr>
          <w:rFonts w:ascii="Book Antiqua" w:hAnsi="Book Antiqua" w:eastAsia="Times New Roman"/>
          <w:color w:val="FF0000"/>
          <w:sz w:val="24"/>
          <w:szCs w:val="24"/>
          <w:lang w:eastAsia="el-GR"/>
        </w:rPr>
      </w:pPr>
      <w:r>
        <w:rPr>
          <w:rFonts w:eastAsia="Times New Roman" w:ascii="Book Antiqua" w:hAnsi="Book Antiqua"/>
          <w:color w:val="FF0000"/>
          <w:sz w:val="24"/>
          <w:szCs w:val="24"/>
          <w:lang w:eastAsia="el-GR"/>
        </w:rPr>
      </w:r>
    </w:p>
    <w:p>
      <w:pPr>
        <w:pStyle w:val="Normal"/>
        <w:spacing w:lineRule="auto" w:line="360" w:before="0" w:after="0"/>
        <w:ind w:left="786" w:right="26" w:hanging="0"/>
        <w:jc w:val="both"/>
        <w:rPr>
          <w:rFonts w:ascii="Book Antiqua" w:hAnsi="Book Antiqua" w:eastAsia="Times New Roman"/>
          <w:color w:val="FF0000"/>
          <w:sz w:val="24"/>
          <w:szCs w:val="24"/>
          <w:lang w:eastAsia="el-GR"/>
        </w:rPr>
      </w:pPr>
      <w:r>
        <w:rPr>
          <w:rFonts w:eastAsia="Times New Roman" w:ascii="Book Antiqua" w:hAnsi="Book Antiqua"/>
          <w:color w:val="FF0000"/>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vertAlign w:val="superscript"/>
          <w:lang w:eastAsia="el-GR"/>
        </w:rPr>
      </w:pPr>
      <w:r>
        <w:rPr>
          <w:rFonts w:eastAsia="Times New Roman" w:ascii="Book Antiqua" w:hAnsi="Book Antiqua"/>
          <w:b/>
          <w:bCs/>
          <w:sz w:val="24"/>
          <w:szCs w:val="24"/>
          <w:lang w:eastAsia="el-GR"/>
        </w:rPr>
        <w:t>Άρθρο 213</w:t>
      </w:r>
    </w:p>
    <w:p>
      <w:pPr>
        <w:pStyle w:val="Normal"/>
        <w:keepNex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12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Αρμοδιότητες των Δήμων επί ΑΣΑ </w:t>
      </w:r>
    </w:p>
    <w:p>
      <w:pPr>
        <w:pStyle w:val="ListParagraph"/>
        <w:numPr>
          <w:ilvl w:val="0"/>
          <w:numId w:val="166"/>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 xml:space="preserve">Οι ΟΤΑ α’ βαθμου, </w:t>
      </w:r>
      <w:r>
        <w:rPr>
          <w:rFonts w:ascii="Book Antiqua" w:hAnsi="Book Antiqua"/>
          <w:color w:val="000000"/>
          <w:sz w:val="24"/>
          <w:szCs w:val="24"/>
          <w:lang w:eastAsia="el-GR"/>
        </w:rPr>
        <w:t>πλέον των προβλεπομένων από τις διατάξεις του ν.3536/2007,</w:t>
      </w:r>
      <w:r>
        <w:rPr>
          <w:rFonts w:ascii="Book Antiqua" w:hAnsi="Book Antiqua"/>
          <w:sz w:val="24"/>
          <w:szCs w:val="24"/>
          <w:lang w:eastAsia="el-GR"/>
        </w:rPr>
        <w:t xml:space="preserve"> έχουν τις εξής αρμοδιότητες: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την εκπόνηση και υλοποίηση Τοπικού Σχεδίου Διαχείρισης Αποβλήτων (ΤΣΔΑ) στα 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και το οποίο είναι σύμφωνο με τους στόχους του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w:t>
      </w:r>
      <w:r>
        <w:rPr>
          <w:rFonts w:eastAsia="Times New Roman" w:ascii="Book Antiqua" w:hAnsi="Book Antiqua"/>
          <w:bCs/>
          <w:color w:val="000000"/>
          <w:sz w:val="24"/>
          <w:szCs w:val="24"/>
          <w:lang w:eastAsia="el-GR"/>
        </w:rPr>
        <w:t xml:space="preserve">την </w:t>
      </w:r>
      <w:r>
        <w:rPr>
          <w:rFonts w:eastAsia="Times New Roman" w:ascii="Book Antiqua" w:hAnsi="Book Antiqua"/>
          <w:color w:val="000000"/>
          <w:sz w:val="24"/>
          <w:szCs w:val="24"/>
          <w:lang w:eastAsia="el-GR"/>
        </w:rPr>
        <w:t>εκπόνηση προγραμμάτων πρόληψης-μείωσης παραγωγής αποβλήτων και προετοιμασίας για επαναχρησιμοποίηση,</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την οργάνωση και την εφαρμογή της διαλογής στην πηγή των αστικών αποβλήτων στα διοικητικά όριά τους συμφωνα με τα οικεία ΤΣΔΑ και ΠΕΣΔΑ,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την οργάνωση και εφαρμογή χωριστής συλλογής για τουλάχιστον τέσσερα (4) διακριτά ρεύματα ανακυκλώσιμων αποβλήτων υλικών, ήτοι γυαλί, χαρτί, πλαστικά, μέταλλα από αστικά απόβλητα,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ε. την  οργάνωση και εφαρμογή χωριστής συλλογής βιοαποβλήτων που πρέρχονται από χώρους εστίασης, νοικοκυριά, μεγάλους παραγωγούς και πράσινα απόβλητα πάρκων και κήπων,</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στ. τη συλλογή και μεταφορά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ζ. την εξάλειψη της ανεξέλεγκτης διάθεσης των ΑΣΑ και η αποκατάσταση των υφισταμένων ΧΑΔΑ.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την ενημέρωση και η ευαισθητοποίηση των δημοτών και των επιχειρήσεων που λειτουργούν στα διοικητικά τους όρια.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ι.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προγράμματα είτε ευρωπαικά προγράμματα με την ιδιότητα του τελικού δικαιούχου.</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ια. </w:t>
      </w:r>
      <w:r>
        <w:rPr>
          <w:rFonts w:eastAsia="Times New Roman" w:ascii="Book Antiqua" w:hAnsi="Book Antiqua"/>
          <w:color w:val="000000"/>
          <w:sz w:val="24"/>
          <w:szCs w:val="24"/>
          <w:lang w:eastAsia="el-GR"/>
        </w:rPr>
        <w:t>την</w:t>
      </w:r>
      <w:r>
        <w:rPr>
          <w:rFonts w:eastAsia="Times New Roman" w:ascii="Book Antiqua" w:hAnsi="Book Antiqua"/>
          <w:bCs/>
          <w:color w:val="000000"/>
          <w:sz w:val="24"/>
          <w:szCs w:val="24"/>
          <w:lang w:eastAsia="el-GR"/>
        </w:rPr>
        <w:t xml:space="preserve"> </w:t>
      </w:r>
      <w:r>
        <w:rPr>
          <w:rFonts w:eastAsia="Times New Roman" w:ascii="Book Antiqua" w:hAnsi="Book Antiqua"/>
          <w:color w:val="000000"/>
          <w:sz w:val="24"/>
          <w:szCs w:val="24"/>
          <w:lang w:eastAsia="el-GR"/>
        </w:rPr>
        <w:t>προώθηση δράσεων και η υλοποίηση έργων που συμβάλλουν στην κυκλική οικονομία.</w:t>
      </w:r>
    </w:p>
    <w:p>
      <w:pPr>
        <w:pStyle w:val="ListParagraph"/>
        <w:numPr>
          <w:ilvl w:val="0"/>
          <w:numId w:val="166"/>
        </w:numPr>
        <w:tabs>
          <w:tab w:val="left" w:pos="8280" w:leader="none"/>
        </w:tabs>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ΟΤΑ α’ βαθμου </w:t>
      </w:r>
      <w:r>
        <w:rPr>
          <w:rFonts w:eastAsia="Times New Roman" w:ascii="Book Antiqua" w:hAnsi="Book Antiqua"/>
          <w:color w:val="000000"/>
          <w:sz w:val="24"/>
          <w:szCs w:val="24"/>
          <w:lang w:eastAsia="el-GR"/>
        </w:rPr>
        <w:t>δύνανται να προβαίνουν:</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στην κατασκευή και λειτουργία Πράσινων Σημείων του άρθρου 21 του ν. 4447/2016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(Β’ 2471)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στην υλοποίηση και λειτουργία Κέντρων Διαλογής Ανακυκλώσιμων Υλικών (ΚΔΑΥ)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στην υλοποίηση και λειτουργία Σταθμών Μεταφόρτωσης Αποβλήτων  ΣΜΑ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στην κατασκευή και λειτουργία Μονάδων Επεξεργασίας Βιοαποβλήτων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η λειτουργία αυτών ιδίως με την προώθηση διαδημοτικών συνεργασιών μεταξύ όμορων Δήμων, με την επιφύλαξη των προβλέψεων του οικείου ΠΕΣΔΑ. </w:t>
      </w:r>
    </w:p>
    <w:p>
      <w:pPr>
        <w:pStyle w:val="Normal"/>
        <w:spacing w:lineRule="auto" w:line="360" w:before="0" w:after="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214</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120"/>
        <w:ind w:right="26" w:hanging="0"/>
        <w:jc w:val="center"/>
        <w:outlineLvl w:val="0"/>
        <w:rPr>
          <w:rFonts w:ascii="Book Antiqua" w:hAnsi="Book Antiqua"/>
          <w:b/>
          <w:b/>
          <w:bCs/>
          <w:sz w:val="24"/>
          <w:szCs w:val="24"/>
        </w:rPr>
      </w:pPr>
      <w:r>
        <w:rPr>
          <w:rFonts w:ascii="Book Antiqua" w:hAnsi="Book Antiqua"/>
          <w:b/>
          <w:bCs/>
          <w:sz w:val="24"/>
          <w:szCs w:val="24"/>
        </w:rPr>
        <w:t>Όργανα Διοίκησης ΦΟΔΣΑ με τη νομική μορφή του Συνδέσμου των ΟΤΑ</w:t>
      </w:r>
    </w:p>
    <w:p>
      <w:pPr>
        <w:pStyle w:val="Normal"/>
        <w:tabs>
          <w:tab w:val="left" w:pos="8280" w:leader="none"/>
        </w:tabs>
        <w:spacing w:lineRule="auto" w:line="360" w:before="12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Όργανα διοίκησης του ΦοΔΣΑ με τη νομική μορφή του Συνδέσμου των ΟΤΑ είναι το διοικητικό συμβούλιο, η εκτελεστική επιτροπή και ο πρόεδρός του. </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215</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rPr>
        <w:t xml:space="preserve">Σύνθεση Διοικητικού Συμβουλίου </w:t>
      </w:r>
      <w:r>
        <w:rPr>
          <w:rFonts w:eastAsia="Times New Roman" w:ascii="Book Antiqua" w:hAnsi="Book Antiqua"/>
          <w:b/>
          <w:bCs/>
          <w:sz w:val="24"/>
          <w:szCs w:val="24"/>
          <w:lang w:eastAsia="el-GR"/>
        </w:rPr>
        <w:t>ΦΟΔΣΑ με τη νομική μορφή του Συνδέσμου των ΟΤΑ</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διοικητικό συμβούλιο του ΦΟΔΣΑ ορίζεται σύμφωνα με τις διατάξεις του 246 του ΚΔΚ, όπως κάθε φορά ισχύει. </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216</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rPr>
        <w:t xml:space="preserve">Αρμοδιότητες Διοικητικού Συμβουλίου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67"/>
        </w:numPr>
        <w:tabs>
          <w:tab w:val="left" w:pos="8280" w:leader="none"/>
        </w:tabs>
        <w:spacing w:lineRule="auto" w:line="360" w:before="120" w:after="0"/>
        <w:ind w:left="720" w:right="26" w:hanging="360"/>
        <w:jc w:val="both"/>
        <w:rPr>
          <w:rFonts w:ascii="Book Antiqua" w:hAnsi="Book Antiqua" w:eastAsia="Times New Roman"/>
          <w:bCs/>
          <w:sz w:val="24"/>
          <w:szCs w:val="24"/>
          <w:lang w:eastAsia="el-GR"/>
        </w:rPr>
      </w:pPr>
      <w:r>
        <w:rPr>
          <w:rFonts w:eastAsia="Times New Roman" w:ascii="Book Antiqua" w:hAnsi="Book Antiqua"/>
          <w:bCs/>
          <w:sz w:val="24"/>
          <w:szCs w:val="24"/>
          <w:lang w:eastAsia="el-GR"/>
        </w:rPr>
        <w:t xml:space="preserve">Το διοικητικό συμβούλιο είναι αρμόδιο για όλα τα θέματα που αφορούν τον ΦΟΔΣΑ, εκτός από εκείνα που εκ του νόμου ανήκουν στην αρμοδιότητα του προέδρου και της εκτελεστικής επιτροπής.   </w:t>
      </w:r>
    </w:p>
    <w:p>
      <w:pPr>
        <w:pStyle w:val="Normal"/>
        <w:tabs>
          <w:tab w:val="left" w:pos="8280" w:leader="none"/>
        </w:tabs>
        <w:spacing w:lineRule="auto" w:line="360" w:before="120" w:after="0"/>
        <w:ind w:left="709" w:right="26" w:hanging="0"/>
        <w:jc w:val="both"/>
        <w:rPr>
          <w:rFonts w:ascii="Book Antiqua" w:hAnsi="Book Antiqua" w:eastAsia="Times New Roman"/>
          <w:strike/>
          <w:sz w:val="24"/>
          <w:szCs w:val="24"/>
          <w:u w:val="single"/>
          <w:lang w:eastAsia="el-GR"/>
        </w:rPr>
      </w:pPr>
      <w:r>
        <w:rPr>
          <w:rFonts w:eastAsia="Times New Roman" w:ascii="Book Antiqua" w:hAnsi="Book Antiqua"/>
          <w:sz w:val="24"/>
          <w:szCs w:val="24"/>
          <w:lang w:eastAsia="el-GR"/>
        </w:rPr>
        <w:t xml:space="preserve">Το διοικητικό συμβούλιο είναι αποκλειστικά αρμόδιο για να : α) διαχειρίζεται την περιουσία του νομικού προσώπου, β) καθορίζει την τιμολογιακή πολιτική προς τους δήμους – μέλη του ΦοΔΣΑ, με την επιφύλαξη του άρθρου 9 του ν. 2939/2001 (Α’ 179) γ) εγκρίνει τον προϋπολογισμό και τις οικονομικές καταστάσεις του ΦΟΔΣΑ ,δ) εγκρίνει το τεχνικό πρόγραμμα ε) καταρτίζει τον κανονισμό λειτουργίας του, στ) ψηφίζει τον οργανισμό εσωτερικής υπηρεσίας ζ) γνωμοδοτεί σε δημόσιες αρχές ή αρμόδια όργανα όταν ζητούν τη γνώμη του η) λαμβάνει την απόφαση της περ. α της παρ. 4 του άρθρου 210 και θ) έχει την ευθύνη εκπόνησης, υλοποίησης και παρακολούθησης της υλοποίησης του ΠΕΣΔΑ, σύμφωνα με την παρ. 2 του άρθρου 35  του ν. 4042/2012, όπως έχει τροποποιηθεί και ισχύει, στην περίπτωση που είναι ο μοναδικός ΦΟΔΣΑ εντός των ορίων μιας  Περιφέρειας, σύμφωνα την παρ. 2 του άρθρου 212 του παρόντος. </w:t>
      </w:r>
    </w:p>
    <w:p>
      <w:pPr>
        <w:pStyle w:val="ListParagraph"/>
        <w:numPr>
          <w:ilvl w:val="0"/>
          <w:numId w:val="167"/>
        </w:numPr>
        <w:tabs>
          <w:tab w:val="left" w:pos="8280" w:leader="none"/>
        </w:tabs>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διοικητικό συμβούλιο δύναται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υπ΄αυτό,συμφωνα με τις διατάξεις της προηγούμενης παραγράφου .Στην εν λόγω απόφαση δύναται να ορίζεται ότι οι μεταβιβαζόμενες αρμοδιότητες ασκούνται παράλληλα και από το διοικητικό συμβούλιο. </w:t>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Λειτουργία του Διοικητικού Συμβουλίου ΦΟΔΣΑ με τη νομική μορφή του Συνδέσμου των ΟΤΑ</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Εντός δέκα ημερών από την έκδοση της απόφασης περί ορισμού του διοικητικού συμβουλίου, ο Δήμαρχος ή ο πλειοψηφών δημοτικός σύμβουλος του Δήμου της έδρας του ΦΟΔΣΑ, καλεί τα μέλη του διοικητικού συμβουλίου σε συνεδρίαση με αποκλειστικό θέμα ημερήσιας διάταξης τη συγκρότησή τους σε σώμα. Στην εν λόγω διαδικασία εκλογής εφαρμόζονται αναλογικά οι διατάξεις της παρ. 7 του άρθρου 246 του ν. 3463/2006, όπως ισχύει.</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Κατά την πρώτη, ως άνω, συνεδρίαση για τη συγκρότηση του διοικητικού συμβουλίου του ΦΟΔΣΑ εκλέγονται ο πρόεδρος, ο αντιπρόεδρος και τα μέλη της εκτελεστικής επιτροπής  με τους αναπληρωτές τους.</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
          <w:b/>
          <w:bCs/>
          <w:color w:val="000000"/>
          <w:sz w:val="24"/>
          <w:szCs w:val="24"/>
          <w:lang w:eastAsia="el-GR"/>
        </w:rPr>
      </w:pPr>
      <w:r>
        <w:rPr>
          <w:rFonts w:eastAsia="Times New Roman" w:ascii="Book Antiqua" w:hAnsi="Book Antiqua"/>
          <w:color w:val="000000"/>
          <w:sz w:val="24"/>
          <w:szCs w:val="24"/>
          <w:lang w:eastAsia="el-GR"/>
        </w:rPr>
        <w:t xml:space="preserve">Το διοικητικό συμβούλιο συγκαλείται μετά από πρόσκληση του προέδρου και συνεδριάζει κάθε φορά που απαιτείται, και οπωσδήποτε μία τουλάχιστον φορά στους δύο μήνες. Στην πρόσκληση ορίζεται ο τόπος και η ώρα της συνεδρίασης και περιλαμβάνονται τα θέματα της ημερήσιας διάταξης. Όταν ο Πρόεδρος κωλύεται, το διοικητικό συμβούλιο μπορεί να συγκαλείται από τον Αντιπρόεδρο. Για την σύγκληση, την απαρτία και τη λήψη των αποφάσεων του διοικητικού συμβουλίου εφαρμόζονται αναλογικά οι διατάξεις του άρθρου 67 του ν. 3852/2010 σε συνδυασμό με εκείνες του άρθρου 7 της υπ’ αριθ. 16852/2011 Υπουργικής Απόφασης (Β΄ 661), όπως ισχύουν . </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Τα μέλη του διοικητικού συμβουλίου απαγορεύεται: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Να δραστηριοποιούνται ή να </w:t>
      </w:r>
      <w:r>
        <w:rPr>
          <w:rFonts w:eastAsia="Times New Roman" w:ascii="Book Antiqua" w:hAnsi="Book Antiqua"/>
          <w:sz w:val="24"/>
          <w:szCs w:val="24"/>
          <w:lang w:eastAsia="el-GR"/>
        </w:rPr>
        <w:t xml:space="preserve">συμμετέχουν άμεσα ή έμμεσα σε εταιρεία οποιασδήποτε νομικής μορφής που δραστηριοποιείται στον τομέα </w:t>
      </w:r>
      <w:r>
        <w:rPr>
          <w:rFonts w:eastAsia="Times New Roman" w:ascii="Book Antiqua" w:hAnsi="Book Antiqua"/>
          <w:color w:val="000000"/>
          <w:sz w:val="24"/>
          <w:szCs w:val="24"/>
          <w:lang w:eastAsia="el-GR"/>
        </w:rPr>
        <w:t>της διαχείρισης αποβλήτων. Κατά την ανάληψη των καθηκόντων τους, υποβάλλουν δε σχετική υπεύθυνη δήλωση του ν.1599/1986 (Α’ 75) στην αρμόδια Αποκεντρωμένη Διοίκηση.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w:t>
      </w:r>
      <w:r>
        <w:rPr>
          <w:rFonts w:eastAsia="Times New Roman" w:ascii="Book Antiqua" w:hAnsi="Book Antiqua"/>
          <w:color w:val="000000"/>
          <w:sz w:val="24"/>
          <w:szCs w:val="24"/>
          <w:lang w:eastAsia="el-GR"/>
        </w:rPr>
        <w:t xml:space="preserve"> Να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Η συνδρομή των κωλυμάτων των περιπτώσεων α’ και β’ δεν επιφέρει ακυρότητα της απόφασης, αλλά ο διορισμός του εν λόγω μέλους ανακαλείται με αιτιολογημένη απόφαση του οικείου Δημοτικού συμβουλίου.</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 xml:space="preserve">Αρμοδιότητες της Εκτελεστικής Επιτροπής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6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Η εκτελεστική επιτροπή: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Ασκεί τις αρμοδιότητες που της μεταβιβάζονται από το διοικητικό συμβούλιο βάσει του της παρ.2 του άρθρου 216 του παρόντος.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w:t>
      </w:r>
      <w:r>
        <w:rPr>
          <w:rFonts w:eastAsia="Times New Roman" w:ascii="Book Antiqua" w:hAnsi="Book Antiqua"/>
          <w:color w:val="000000"/>
          <w:sz w:val="24"/>
          <w:szCs w:val="24"/>
          <w:lang w:eastAsia="el-GR"/>
        </w:rPr>
        <w:t>)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επιχείρηση οποιαδήποτε δικαστικής ή εξώδικης ενέργειας ή την παροχή νομικών συμβουλών.</w:t>
      </w:r>
    </w:p>
    <w:p>
      <w:pPr>
        <w:pStyle w:val="ListParagraph"/>
        <w:numPr>
          <w:ilvl w:val="0"/>
          <w:numId w:val="16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Η εκτελεστική επιτροπή μπορεί να παραπέμπει οποιοδήποτε θέμα της αρμοδιότητάς της στο διοικητικό συμβούλιο για τη λήψη απόφασης, εάν κρίνει ότι αυτό επιβάλλεται από την ιδιαίτερη σοβαρότητά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219</w:t>
      </w:r>
    </w:p>
    <w:p>
      <w:pPr>
        <w:pStyle w:val="Normal"/>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color w:val="000000"/>
          <w:sz w:val="24"/>
          <w:szCs w:val="24"/>
          <w:lang w:eastAsia="el-GR"/>
        </w:rPr>
        <w:t xml:space="preserve">Λειτουργία εκτελεστικής επιτροπής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70"/>
        </w:numPr>
        <w:spacing w:lineRule="auto" w:line="360" w:before="150" w:after="150"/>
        <w:ind w:left="825" w:right="26" w:hanging="465"/>
        <w:jc w:val="both"/>
        <w:rPr>
          <w:rFonts w:ascii="Book Antiqua" w:hAnsi="Book Antiqua" w:eastAsia="Times New Roman"/>
          <w:sz w:val="24"/>
          <w:szCs w:val="24"/>
          <w:lang w:eastAsia="el-GR"/>
        </w:rPr>
      </w:pPr>
      <w:r>
        <w:rPr>
          <w:rFonts w:eastAsia="Times New Roman" w:ascii="Book Antiqua" w:hAnsi="Book Antiqua"/>
          <w:sz w:val="24"/>
          <w:szCs w:val="24"/>
          <w:lang w:eastAsia="el-GR"/>
        </w:rPr>
        <w:t>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μέλη, ένα μέλος εκ των οποίων είναι εκπρόσωπος των εργαζομένων</w:t>
      </w:r>
      <w:r>
        <w:rPr>
          <w:rFonts w:eastAsia="Times New Roman" w:cs="Courier New" w:ascii="Book Antiqua" w:hAnsi="Book Antiqua"/>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 </w:t>
      </w:r>
      <w:r>
        <w:rPr>
          <w:rFonts w:eastAsia="Times New Roman" w:ascii="Book Antiqua" w:hAnsi="Book Antiqua"/>
          <w:sz w:val="24"/>
          <w:szCs w:val="24"/>
          <w:lang w:eastAsia="el-GR"/>
        </w:rPr>
        <w:t xml:space="preserve">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Δ.Σ. </w:t>
      </w:r>
    </w:p>
    <w:p>
      <w:pPr>
        <w:pStyle w:val="ListParagraph"/>
        <w:numPr>
          <w:ilvl w:val="0"/>
          <w:numId w:val="170"/>
        </w:numPr>
        <w:spacing w:lineRule="auto" w:line="360" w:before="150" w:after="150"/>
        <w:ind w:left="825" w:right="26" w:hanging="465"/>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τουλάχιστον από τα μέλη. Οι αποφάσεις της λαμβάνονται με απλή πλειοψηφία. </w:t>
      </w:r>
    </w:p>
    <w:p>
      <w:pPr>
        <w:pStyle w:val="ListParagraph"/>
        <w:numPr>
          <w:ilvl w:val="0"/>
          <w:numId w:val="17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825" w:right="26" w:hanging="465"/>
        <w:jc w:val="both"/>
        <w:rPr>
          <w:rFonts w:ascii="Book Antiqua" w:hAnsi="Book Antiqua" w:eastAsia="Times New Roman"/>
          <w:color w:val="000000"/>
          <w:sz w:val="24"/>
          <w:szCs w:val="24"/>
          <w:lang w:eastAsia="el-GR"/>
        </w:rPr>
      </w:pPr>
      <w:r>
        <w:rPr>
          <w:rFonts w:eastAsia="Times New Roman" w:cs="Arial Narrow" w:ascii="Book Antiqua" w:hAnsi="Book Antiqua"/>
          <w:bCs/>
          <w:color w:val="000000"/>
          <w:sz w:val="24"/>
          <w:szCs w:val="24"/>
          <w:lang w:eastAsia="el-GR"/>
        </w:rPr>
        <w:t>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Η παράβαση του προηγούμενου εδαφίου δεν επιφέρει ακυρότητα της απόφασης, αλλά ο διορισμός του εν λόγω μέλους ανακαλείται με αιτιολογημένη απόφαση του του οικείου δημοτικού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Αρμοδιότητες του Προέδρου ΦΟΔΣΑ με τη νομική μορφή του Συνδέσμου των ΟΤΑ και λοιπά θέματα διοίκησης</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 πρόεδρος του διοικητικού συμβουλίου του ΦΟΔΣΑ:</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α) Εκπροσωπεί το ΦΟ.Σ.ΠΕΣΔΑ στα δικαστήρια και σε κάθε δημόσια αρχή.</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β) Εκτελεί τις αποφάσεις του διοικητικού συμβουλίου,  </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γ) Συγκαλεί και προεδρεύει  του διοικητικού συμβουλίου και συντονίζει την υλοποίηση των αποφάσεών του.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δ) Είναι προϊστάμενος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 xml:space="preserve">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 xml:space="preserve">στ) Υπογράφει τις συμβάσεις που συνάπτει ο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pPr>
        <w:pStyle w:val="Normal"/>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η) Μπορεί να αναθέτει, χωρίς αμοιβή, την εποπτεία και το συντονισμό συγκεκριμένων δράσεων του ΦΟ.Σ.ΠΕΔΣΑ  σε μέλη του διοικητικού συμβουλίου.</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 Δεν απαιτείται δημοσίευση στην Εφημερίδα της Κυβερνήσεως των ατομικού περιεχομένου αποφάσεών τους, οι οποίες ισχύουν από την έκδοση, άλλως από την κοινοποίησή τους ή τη γνώση αυτών.</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Η παραίτηση από τη θέση του προέδρου, του αντιπροέδρου και του μέλους της εκτελεστικής επιτροπής και η αποδοχή αυτής γίνεται κατά ανάλογη εφαρμογή της παρ. 10 του άρθρου 246 του ν. 3463/2006, όπως κάθε φορά ισχύει.  </w:t>
      </w:r>
    </w:p>
    <w:p>
      <w:pPr>
        <w:pStyle w:val="ListParagraph"/>
        <w:numPr>
          <w:ilvl w:val="0"/>
          <w:numId w:val="171"/>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Στα  αιρετά όργανα   του διοικητικού συμβουλίου   και της εκτελεστικής  επιτροπής εφαρμοζόνται οι περί αστικής και πειθαρχικής  ευθύνης διατάξεις των άρθρων 232-236 και 238 του ν.3852/10, όπως κάθε φορά ισχύουν, καθώς και οι ισχύουσες διατάξεις περί των υποχρεώσεων των δημοτικών συμβούλων και του κωλύματος συμμετοχής τους σε συνεδρίαση.</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αρμοδιότητες του αντιπροέδρου καθορίζονται με απόφαση του Διοικητικού Συμβουλίου, μετά από σχετική εισήγηση του Προέδρου. Ο Πρόεδρος του διοικητικού συμβουλίου μπορεί με απόφασή του να μεταβιβάζει αρμοδιότητές του στον αντιπρόεδρο.</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Με την επιφύλαξη της παρ. 8 του άρθρου 92 του ν. 3852/2010, όπως ισχύει,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 δήμαρχο και τους αντιδημάρχους του μεγαλύτερου σε πληθυσμό δήμου που συμμετέχει στο ΦΟΔΣΑ. Κατά τα λοιπά, εφαρμόζονται αναλογικά οι σχετικές διατάξεις των άρθρων 92 και 93 του ν. 3852/2010.</w:t>
      </w:r>
    </w:p>
    <w:p>
      <w:pPr>
        <w:pStyle w:val="ListParagraph"/>
        <w:keepNext/>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20" w:right="26" w:hanging="360"/>
        <w:jc w:val="both"/>
        <w:outlineLvl w:val="0"/>
        <w:rPr>
          <w:rFonts w:ascii="Book Antiqua" w:hAnsi="Book Antiqua"/>
          <w:bCs/>
          <w:sz w:val="24"/>
          <w:szCs w:val="24"/>
        </w:rPr>
      </w:pPr>
      <w:r>
        <w:rPr>
          <w:rFonts w:ascii="Book Antiqua" w:hAnsi="Book Antiqua"/>
          <w:bCs/>
          <w:sz w:val="24"/>
          <w:szCs w:val="24"/>
        </w:rPr>
        <w:t>Η συμμετοχή νέου δήμου σε υφιστάμενο ΦΟΔΣΑ είναι δυνατή καθόλη τη διάρκεια της δημοτικής περιόδου. Η εν λόγω συμμετοχή δεν οδηγεί σε εκ νέου συγκρότηση της εκτελεστικής Επιτροπής του ΦΟΔΣΑ μέχρι τη λήξη της τρέχουσας θητείας της ς, εκτός εάν αποφασισθεί διαφορετικά, από το Διοικητικό Συμβούλιο του  οικείου</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221</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Όργανα Διοίκησης, Διοίκηση και Λειτουργία των ΦοΔΣΑ με τη νομική μορφή ανώνυμης εταιρείας</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 ΦΟΔΣΑ με τη νομική μορφή ανώνυμης εταιρείας συστήνεται και λειτουργεί σύμφωνα με τις διατάξεις του παρόντος Μέρους σε συνδυασμό με εκείνες του άρθρου 265 του ν. 3463/2006 και εκείνες του ν. 2190/1920, όπως ισχύουν.</w:t>
      </w:r>
    </w:p>
    <w:p>
      <w:pPr>
        <w:pStyle w:val="ListParagraph"/>
        <w:numPr>
          <w:ilvl w:val="0"/>
          <w:numId w:val="172"/>
        </w:numPr>
        <w:spacing w:lineRule="auto" w:line="360"/>
        <w:jc w:val="both"/>
        <w:rPr>
          <w:rFonts w:ascii="Book Antiqua" w:hAnsi="Book Antiqua"/>
          <w:sz w:val="24"/>
          <w:szCs w:val="24"/>
        </w:rPr>
      </w:pPr>
      <w:r>
        <w:rPr>
          <w:rFonts w:eastAsia="Times New Roman" w:ascii="Book Antiqua" w:hAnsi="Book Antiqua"/>
          <w:sz w:val="24"/>
          <w:szCs w:val="24"/>
          <w:lang w:eastAsia="el-GR"/>
        </w:rPr>
        <w:t xml:space="preserve">Στο Δ.Σ. των ΦΟΔΣΑ με τη νομική μορφή ανώνυμης εταιρείας </w:t>
      </w:r>
      <w:r>
        <w:rPr>
          <w:rFonts w:eastAsia="Times New Roman" w:ascii="Book Antiqua" w:hAnsi="Book Antiqua"/>
          <w:bCs/>
          <w:sz w:val="24"/>
          <w:szCs w:val="24"/>
          <w:lang w:eastAsia="el-GR"/>
        </w:rPr>
        <w:t>συμμετέχει υποχρεωτικά ένας εκπρόσωπος των εργαζομένων</w:t>
      </w:r>
      <w:r>
        <w:rPr>
          <w:rFonts w:eastAsia="Times New Roman" w:cs="Courier New" w:ascii="Book Antiqua" w:hAnsi="Book Antiqua"/>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αρμοδιότητες των οργάνων διοίκησης του ΦΟΔΣΑ καθορίζονται από τις διατάξεις του παρόντος Μέρους σε συνδυασμό με εκείνες των παραγράφων 2 και 3 του άρθρου 3 της ΚΥΑ 2527/2009 (Β΄ 83), τις διατάξεις του άρθρου 265 του ν. 3463/2006,  τις διατάξεις του ν. 2190/1920 «Περί Ανωνύμων Εταιρειών» και το καταστατικό λειτουργίας τους που δεν έρχονται σε αντίθεση με τις διατάξεις του παρόντος Μέρους. </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στον ΦΟΔΣΑ με τη μορφή ανώνυμης εταιρείας, ορίζουν τους εκπροσώπους τους σε αυτόν, σύμφωνα με τις διατάξεις του άρθρου 265 του ν. 3463/2006 και τις διατάξεις του ν. 2190/1920 «Περί ανωνύμων Εταιρειών».</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Δεν επιτρέπεται η συμμετοχή τρίτων, εκτός των ΟΤΑ Α’ βαθμού, στο μετοχικό κεφάλαιο του ΦΟΔΣΑ με τη μορφή του παρόντος άρθρου.</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χρονική διάρκεια λειτουργίας του ορίζεται σε τριάντα (30) έτη και μπορεί να παρατείνεται με απόφαση του αρμόδιου οργάνου διοίκησης του ΦΟΔΣΑ.</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Στο καταστατικό των ΦΟΔΣΑ με τη μορφή ανώνυμης εταιρείας προβλέπονται υποχρεωτικά τα παρακάτω :</w:t>
      </w:r>
    </w:p>
    <w:p>
      <w:pPr>
        <w:pStyle w:val="Normal"/>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το ελάχιστο ποσοστό του κατατεθειμένου μετοχικού κεφαλαίου που απαιτείται για την άσκηση των δικαιωμάτων της μειοψηφίας που προβλέπονται στα άρθρα 39 και 40 του ν.2190/1920, καθορίζεται στο 1/30. Το ίδιο ποσοστό απαιτείται για την εγγραφή πρόσθετου θέματος στην ημερήσια διάταξη της Γενικής Συνέλευσης που έχει ήδη συγκληθεί.</w:t>
      </w:r>
      <w:r>
        <w:rPr>
          <w:rFonts w:eastAsia="Times New Roman" w:ascii="Book Antiqua" w:hAnsi="Book Antiqua"/>
          <w:b/>
          <w:bCs/>
          <w:sz w:val="24"/>
          <w:szCs w:val="24"/>
          <w:lang w:eastAsia="el-GR"/>
        </w:rPr>
        <w:t xml:space="preserve"> </w:t>
      </w:r>
    </w:p>
    <w:p>
      <w:pPr>
        <w:pStyle w:val="Normal"/>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η εκπροσώπηση με δικαίωμα λόγου στο Διοικητικό Συμβούλιο του ΦΟΔΣΑ, των Δήμων – μετόχων που δεν εκπροσωπούνται με τακτικό μέλος.</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η υποχρεωτική συμμετοχή στο Δ.Σ. του ΦΟΔΣΑ ενός, τουλάχιστον, μέλος από κάθε Δήμο-μέτοχο κάθε περιφερειακής ενότητας της οικείας Περιφέρειας στην περίπτωση που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η αποκλειστική αρμοδιότητα της Γ.Σ., υποχρεωτικά για τη λήψη απόφασης για τα παρακάτω ζητήματα: αα) καθορισμός τιμολογιακής πολιτικής προς τους Δήμους- μέλη του ΦΟΔΣΑ, με την επιφύλαξη του άρθρου 9 του ν.2939/2001 και ββ) η ευθύνη εκπόνησης, υλοποίησης και παρακολούθησης της υλοποίησης του ΠΕΣΔΑ, σύμφωνα με την παράγραφο 2 του άρθρο 35  του ν. 4042/2012, όπως έχει τροποποιηθεί και ισχύει, στην περίπτωση που είναι ο μοναδικός ΦΟΔΣΑ της οικείας Περιφέρειας γγ) η έγκριση του προϋπολογισμού και των οικονομικών καταστάσεων του ΦΟΔΣΑ, δδ) η έγκριση του τεχνικού προγράμματος  εε) η κατάρτιση του κανονισμού λειτουργίας του, στστ) η ψήφιση του οργανισμού εσωτερικής υπηρεσίας και ζζ) η λήψη απόφασης της περ. α της παρ. 4 του άρθρου 210 του παρόντος Μέρους ηη)την παράταση της χρονικής διάρκειας λειτουργίας του ΦΟΔΣΑ . </w:t>
      </w:r>
    </w:p>
    <w:p>
      <w:pPr>
        <w:pStyle w:val="ListParagraph"/>
        <w:numPr>
          <w:ilvl w:val="0"/>
          <w:numId w:val="172"/>
        </w:numPr>
        <w:tabs>
          <w:tab w:val="left" w:pos="8280" w:leader="none"/>
        </w:tabs>
        <w:spacing w:lineRule="auto" w:line="360" w:before="0" w:after="0"/>
        <w:ind w:left="720" w:right="26" w:hanging="36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Η συμμετοχή νέου δήμου σε υφιστάμενο ΦΟΔΣΑ με τη μορφή ανώνυμης εταιρείας είναι δυνατή καθόλη τη διάρκεια της δημοτικής περιόδου. Η εν λόγω συμμετοχή δεν οδηγεί σε εκ νέου συγκρότηση του Διοικητικού Συμβουλίου του ΦΟΔΣΑ με τη μορφή ανώνυμης εταιρείας μέχρι τη λήξη της τρέχουσας θητείας τους, εκτός εάν αποφασισθεί διαφορετικά, από τη Γ.Σ του οικείου ΦΟΔΣΑ</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222</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color w:val="000000"/>
          <w:sz w:val="24"/>
          <w:szCs w:val="24"/>
          <w:lang w:eastAsia="el-GR"/>
        </w:rPr>
        <w:t xml:space="preserve">Τιμολογιακή Πολιτική –Πόροι </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Την εφαρμογή της αρχής «ο ρυπαίνων πληρώνει», σύμφωνα με τη διάταξη του άρθρου 9 του ν.2939/2001,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Την αρχή της ανταποδοτικότητας και της διαφάνειας,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Τη δημιουργία κινήτρων για τη μείωση του όγκου και της επικινδυνότητας των αποβλήτων και της ανακύκλωσης - ανάκτησης τους και,</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Την κάλυψη του συνόλου των απαιτήσεων που θέτει η κείμενη περιβαλλοντική νομοθεσία.</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 / τόνο. Τυχόν επιχορηγήσεις, έσοδα από συμμετοχή σε προγράμματα και ενισχύσεις από συλλογικά συστήματα του ν. 2939/2001 (ΦΕΚ Α` 179/6.8.2008)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 </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διαχείρισης του ΦοΔΣΑ, προσδιορίζεται διακεκριμένα με βάση: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το ετήσιο κόστος λειτουργίας του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τα ποσά που αφορούν στο κόστος αποκατάστασης και μεταφροντίδας των ΧΥΤΑ ή άλλων εγκαταστάσεων του συστήματος διαχείρισης, τα οποία υπολογίζονται βάσει των χαρακτηριστικών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οι δαπάνες για τη λειτουργία του ΦΟ.Σ.ΠΕΣΔΑ του παρόντος.</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αμοιβές και έξοδα προσωπικού,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αμοιβές και έξοδα τρίτων,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παροχές τρίτων,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φόροι - τέλη,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διάφορα έξοδα,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 τόκοι και συναφή έξοδα,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ζ) αποσβέσεις παγίων,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προβλέψεις εκμετάλλευσης,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θ) αναλώσεις αποθεμάτων,όπως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ευαισθητοποίησης των πολιτών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ι) τυχόν  αντισταθμιστικά ωφελήματα, σύμφωνα με τις κείμενες διατάξεις.</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Απαλλάσσονται από κάθε φόρο και τέλος τα υπό στοιχεία ΙΙ και ΙΙΙ της παραγράφου 3 του άρθρου 5 της ΚΥΑ 2527/2009 (Β΄ 83) ειδικά αποθεματικά των ΦοΔΣΑ, τα οποία δύνανται να χρησιμοποιηθούν μόνο για την διασφάλιση της ομαλής λειτουργίας, αποκατάστασης και μεταφροντίδας των έργων διαχείρισης των ΑΣΑ.</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b/>
          <w:b/>
          <w:bCs/>
          <w:i/>
          <w:i/>
          <w:iCs/>
          <w:sz w:val="24"/>
          <w:szCs w:val="24"/>
          <w:lang w:eastAsia="el-GR"/>
        </w:rPr>
      </w:pPr>
      <w:r>
        <w:rPr>
          <w:rFonts w:eastAsia="Times New Roman" w:ascii="Book Antiqua" w:hAnsi="Book Antiqua"/>
          <w:sz w:val="24"/>
          <w:szCs w:val="24"/>
          <w:lang w:eastAsia="el-GR"/>
        </w:rPr>
        <w:t>Οι ΦΟΔΣΑ, καθώς  και οι Δήμοι στις περιπτώσεις του άρθρου 211 του παρόντος, δημοσιοποιούν υποχρεωτικά το ετήσιο κόστος διαχείρισης και ενημερώνουν τους πολίτες για τις παρεχόμενες υπηρεσίες και το κόστος τους</w:t>
      </w:r>
      <w:r>
        <w:rPr>
          <w:rFonts w:eastAsia="Times New Roman" w:ascii="Book Antiqua" w:hAnsi="Book Antiqua"/>
          <w:b/>
          <w:bCs/>
          <w:i/>
          <w:iCs/>
          <w:sz w:val="24"/>
          <w:szCs w:val="24"/>
          <w:lang w:eastAsia="el-GR"/>
        </w:rPr>
        <w:t>.</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πόροι των ΦΟΔΣΑ είναι: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κάθε είδους επιχορηγήσεις, δωρεές, κληρονομιές και κληροδοσίες,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έσοδα από τη δική τους περιουσία, καθώς και από τη συμμετοχής τους σε προγράμματα,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έσοδα από πιθανές συμβάσεις με φορείς συστημάτων εναλλακτικής διαχείρισης του ν.2939/2001,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πλατών και άλλα.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ab/>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223</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Οικονομική διοίκηση και διαχείριση</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Επιτελούνται υποχρεωτικά από τις </w:t>
      </w:r>
      <w:r>
        <w:rPr>
          <w:rFonts w:eastAsia="Times New Roman" w:ascii="Book Antiqua" w:hAnsi="Book Antiqua"/>
          <w:sz w:val="24"/>
          <w:szCs w:val="24"/>
          <w:lang w:eastAsia="el-GR"/>
        </w:rPr>
        <w:t xml:space="preserve">οικονομικές υπηρεσίες των ΦΟΔΣΑ, ανεξαρτήτως νομικής μορφής, οι παρακάτω λογιστικές και ταμειακές πράξεις: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λογιστική Διαχείριση και έκδοση των λογιστικών/οικονομικών καταστάσεων</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διαχείριση του Προϋπολογισμού και του Απολογισμού</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οικονομική Διαχείριση Προγραμμάτων – Έργων και Συμβάσεων</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διαχείριση Δαπανών (εξόδων)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Διαχείριση των Εσόδων,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 Διαχείριση της Περιουσίας,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ζ) Διαχείριση Αποθεμάτων και Εξοπλισμού,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Διαχείριση Μισθοδοσίας </w:t>
      </w:r>
    </w:p>
    <w:p>
      <w:pPr>
        <w:pStyle w:val="Normal"/>
        <w:tabs>
          <w:tab w:val="left" w:pos="8280" w:leader="none"/>
        </w:tabs>
        <w:spacing w:lineRule="auto" w:line="360" w:before="0" w:after="0"/>
        <w:ind w:left="709" w:right="26" w:hanging="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 xml:space="preserve">θ) Διαχείριση Ταμείου. </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Οι</w:t>
      </w:r>
      <w:r>
        <w:rPr>
          <w:rFonts w:eastAsia="Times New Roman" w:ascii="Book Antiqua" w:hAnsi="Book Antiqua"/>
          <w:b/>
          <w:sz w:val="24"/>
          <w:szCs w:val="24"/>
          <w:lang w:eastAsia="el-GR"/>
        </w:rPr>
        <w:t xml:space="preserve"> </w:t>
      </w:r>
      <w:r>
        <w:rPr>
          <w:rFonts w:eastAsia="Times New Roman" w:ascii="Book Antiqua" w:hAnsi="Book Antiqua"/>
          <w:sz w:val="24"/>
          <w:szCs w:val="24"/>
          <w:lang w:eastAsia="el-GR"/>
        </w:rPr>
        <w:t xml:space="preserve">οικονομικές καταστάσεις των ΦΟΔΣΑ με οποιαδήποτε νομική μορφή και ανεξαρτήτως ύψους εσόδων ελέγχονται από ορκωτό ελεγκτή-λογιστή. </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Για την οικονομική διαχείριση των ΦΟΔΣΑ με τη νομική μορφή του συνδέσμου εφαρμόζονται αναλογικά οι διατάξεις περί συνδέσμων του ν. 3463/2006 και του π.δ. 315/1999 (ΦΕΚ Α` 302/30.12.1999) περί του Κλαδικού Λογιστικού Σχεδίου,όπως συμπληρώθηκε με την υπ` αριθμ. 4604/2005 κοινή υπουργική απόφαση (Β` 163).</w:t>
      </w:r>
    </w:p>
    <w:p>
      <w:pPr>
        <w:pStyle w:val="ListParagraph"/>
        <w:tabs>
          <w:tab w:val="left" w:pos="8280" w:leader="none"/>
        </w:tabs>
        <w:spacing w:lineRule="auto" w:line="360" w:before="0" w:after="0"/>
        <w:ind w:left="786"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ListParagraph"/>
        <w:tabs>
          <w:tab w:val="left" w:pos="8280" w:leader="none"/>
        </w:tabs>
        <w:spacing w:lineRule="auto" w:line="360" w:before="0" w:after="0"/>
        <w:ind w:left="786"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                                                         </w:t>
      </w:r>
      <w:r>
        <w:rPr>
          <w:rFonts w:eastAsia="Times New Roman" w:ascii="Book Antiqua" w:hAnsi="Book Antiqua"/>
          <w:b/>
          <w:bCs/>
          <w:sz w:val="24"/>
          <w:szCs w:val="24"/>
          <w:lang w:eastAsia="el-GR"/>
        </w:rPr>
        <w:t>Άρθρο 224</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Εισφορές ΟΤΑ α’ βαθμού υπέρ ΦΟΔΣΑ και διαδικασίες είσπραξης </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ΟΤΑ α’ βαθμού που συμμετέχουν στο ΦΟΔΣΑ εισφέρουν στο ετήσιο κόστος διαχείρισης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παρ. 1 του προηγούμενου άρθρου.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  </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ετήσια εισφορά των δήμων και κοινοτήτων, καταβάλλεται σε τέσσερις ισόποσες τριμηνιαίες δόσεις και η πληρωμή κάθε τριμηνιαίας δόσης γίνεται εντός του πρώτου δεκαημέρου του αντίστοιχου τριμήνου.</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 138) έπειτα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 </w:t>
      </w:r>
    </w:p>
    <w:p>
      <w:pPr>
        <w:pStyle w:val="ListParagraph"/>
        <w:numPr>
          <w:ilvl w:val="0"/>
          <w:numId w:val="17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μετά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pPr>
        <w:pStyle w:val="ListParagraph"/>
        <w:numPr>
          <w:ilvl w:val="0"/>
          <w:numId w:val="17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Στις περιπτώσεις που οι ΦΟΔΣΑ συνάπτουν συμβάσεις σύμπραξης βάσει του άρθρου 17 του ν. 3389/2005 (γ1) ασκούν την αρμοδιότητα 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των οριζόμενων στην παράγραφο 3 του παρόντος άρθρου, θα γνωστοποιεί εγγράφως, τον προηγούμενο μήνα πριν την έναρξη κάθε ημερολογιακού εξαμήνου της σύμβασης σύμπραξης, προς τους παρόχους ηλεκτρικής ενέργειας ή και άλλα πρόσωπα στα οποία έχει τυχόν ανατεθεί με νόμο ή σύμβαση ή είσπραξη των ανταποδοτικών τελών για λογαριασμό των δήμων το ποσό της ετήσιας εισφοράς κάθε δήμου προς τον ΦΟΔΣΑ που προορίζεται για την εξυπηρέτηση των οικονομικών υποχρεώσεων της σύμβασης σύμπραξης και τα πρόσωπα αυτά θα υποχρεούνται να το αποδίδουν απευθείας στον ΦΟΔΣΑ κατά προτεραιότητα, πριν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τα οριζόμενα στην παράγραφο 3 του παρόντος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Τα ποσά του προηγούμενου εδαφίου, θα κατατίθενται σε ειδικό λογαριασμό του ΦΟΔΣΑ, ο οποίος θα εξυπηρετεί αποκλειστικά τις οικονομικές υποχρεώσεις του ΦΟΔΣΑ από τη σύμβαση σύμπραξης.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  </w:t>
      </w:r>
      <w:r>
        <w:rPr>
          <w:rFonts w:eastAsia="Times New Roman" w:ascii="Book Antiqua" w:hAnsi="Book Antiqua"/>
          <w:sz w:val="24"/>
          <w:szCs w:val="24"/>
          <w:lang w:eastAsia="el-GR"/>
        </w:rPr>
        <w:t>(γ4) Οι ΦΟΔΣΑ επιτρέπεται να συστήνουν υπέρ των δανειστών της εταιρίας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iCs/>
          <w:sz w:val="24"/>
          <w:szCs w:val="24"/>
          <w:lang w:eastAsia="el-GR"/>
        </w:rPr>
        <w:t>Το παρόν εφαρμόζεται και στους ΦΟΔΣΑ που συνάπτουν ή έχουν συνάψει προγραμματικές συμβάσεις του άρθρου 100 του ν. 3852/2010 (Α΄ 87) για έργα διαχείρισης αποβλήτων που υλοποιούνται μέσω συμβάσεων σύμπραξης του ν. 3389/2005 (Α΄ 232</w:t>
      </w:r>
      <w:r>
        <w:rPr>
          <w:rFonts w:eastAsia="Times New Roman" w:ascii="Book Antiqua" w:hAnsi="Book Antiqua"/>
          <w:i/>
          <w:iCs/>
          <w:sz w:val="24"/>
          <w:szCs w:val="24"/>
          <w:lang w:eastAsia="el-GR"/>
        </w:rPr>
        <w:t>).</w:t>
      </w:r>
    </w:p>
    <w:p>
      <w:pPr>
        <w:pStyle w:val="ListParagraph"/>
        <w:numPr>
          <w:ilvl w:val="0"/>
          <w:numId w:val="17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Μέχρι την έκδοση της απόφασης της παραγράφου 4 του άρθρου 211 του ν. 3852/2010 (Α` 87) το οφειλόμενο ποσό της τριμηνιαίας δόσης της ετήσιας εισφοράς των Ο.Τ.Α. μελών του Ε.Σ.Δ.Κ.Ν.Α. προς αυτόν, μπορεί να παρακρατείται από τους Κεντρικούς Αυτοτελείς Πόρους (Κ.Α.Π.) των υπόχρεων δήμων, με απόφαση του Υπουργού Εσωτερικών, Αποκέντρωσης και Ηλεκτρονικής Διακυβέρνησης. Η απόφαση εκδίδεται μετά από πρόταση του Διοικητικού Συμβουλίου του Συνδέσμου, που συνοδεύεται είτε από απόφαση που λαμβάνεται με την πλειοψηφία των τριών πέμπτων (3/5) του συνολικού αριθμού των μελών του ή κατόπιν ομόφωνης απόφασης της Εκτελεστικής Επιτροπής του, εφόσον έχει μεταβιβαστεί σε αυτήν η αντίστοιχη 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spacing w:lineRule="auto" w:line="360" w:before="0" w:after="0"/>
        <w:jc w:val="center"/>
        <w:rPr>
          <w:rFonts w:ascii="Book Antiqua" w:hAnsi="Book Antiqua" w:eastAsia="Times New Roman"/>
          <w:b/>
          <w:b/>
          <w:bCs/>
          <w:sz w:val="24"/>
          <w:szCs w:val="24"/>
          <w:lang w:eastAsia="el-GR"/>
        </w:rPr>
      </w:pPr>
      <w:r>
        <w:rPr>
          <w:rFonts w:ascii="Book Antiqua" w:hAnsi="Book Antiqua"/>
          <w:b/>
          <w:bCs/>
          <w:sz w:val="24"/>
          <w:szCs w:val="24"/>
          <w:lang w:eastAsia="el-GR"/>
        </w:rPr>
        <w:t>Άρθρο 225</w:t>
      </w:r>
    </w:p>
    <w:p>
      <w:pPr>
        <w:pStyle w:val="Normal"/>
        <w:spacing w:lineRule="auto" w:line="360" w:before="0" w:after="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Εποπτεία επί των αποφάσεων των ΦΟΔΣΑ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rPr>
          <w:rFonts w:ascii="Book Antiqua" w:hAnsi="Book Antiqua" w:eastAsia="Times New Roman"/>
          <w:color w:val="000000"/>
          <w:sz w:val="24"/>
          <w:szCs w:val="24"/>
          <w:lang w:eastAsia="el-GR"/>
        </w:rPr>
      </w:pPr>
      <w:r>
        <w:rPr>
          <w:rFonts w:eastAsia="Times New Roman" w:ascii="Book Antiqua" w:hAnsi="Book Antiqua"/>
          <w:iCs/>
          <w:sz w:val="24"/>
          <w:szCs w:val="24"/>
          <w:lang w:eastAsia="el-GR"/>
        </w:rPr>
        <w:t>Επί των αποφάσεων των μονομελών και συλλογικών οργάνων διοίκησης των ΦΟΔΣΑ, ανεξαρτήτου νομικής μορφής, εφαρμόζεται ο έλεγχος νομιμότητας  των άρθρων 225 και 226 του ν. 3852/10,  εξαιρουμένων όσων αποφάσεων ελέγχονται σύμφωνα με τις διατάξεις του κ.ν 2190/20, όπως ισχύουν.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     </w:t>
      </w:r>
      <w:r>
        <w:rPr>
          <w:rFonts w:eastAsia="Times New Roman" w:ascii="Book Antiqua" w:hAnsi="Book Antiqua"/>
          <w:b/>
          <w:bCs/>
          <w:sz w:val="24"/>
          <w:szCs w:val="24"/>
          <w:lang w:eastAsia="el-GR"/>
        </w:rPr>
        <w:t xml:space="preserve">Οργανωτική διάρθρωση και κανονισμός προσωπικού των ΦΟΔΣΑ </w:t>
      </w:r>
    </w:p>
    <w:p>
      <w:pPr>
        <w:pStyle w:val="ListParagraph"/>
        <w:numPr>
          <w:ilvl w:val="0"/>
          <w:numId w:val="17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i/>
          <w:i/>
          <w:iCs/>
          <w:sz w:val="24"/>
          <w:szCs w:val="24"/>
          <w:lang w:eastAsia="el-GR"/>
        </w:rPr>
      </w:pPr>
      <w:r>
        <w:rPr>
          <w:rFonts w:eastAsia="Times New Roman" w:ascii="Book Antiqua" w:hAnsi="Book Antiqua"/>
          <w:color w:val="000000"/>
          <w:sz w:val="24"/>
          <w:szCs w:val="24"/>
          <w:lang w:eastAsia="el-GR"/>
        </w:rPr>
        <w:t xml:space="preserve">Στην περίπτωση ΦΟΔΣΑ που λειτουργεί με νομική μορφή συνδέσμου ΟΤΑ, με απόφαση του διοικητικού συμβουλίου του οικείου ΦΟΔΣΑ, η οποία λαμβάνεται εντός ενός μηνός από τη συγκρότησή του σε σώμα, συντάσσεται Οργανισμός Εσωτερικής Υπηρεσίας,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Pr>
          <w:rFonts w:eastAsia="Times New Roman" w:ascii="Book Antiqua" w:hAnsi="Book Antiqua"/>
          <w:sz w:val="24"/>
          <w:szCs w:val="24"/>
          <w:lang w:eastAsia="el-GR"/>
        </w:rPr>
        <w:t xml:space="preserve">προϊσταμένων. </w:t>
      </w:r>
      <w:r>
        <w:rPr>
          <w:rFonts w:eastAsia="Times New Roman" w:ascii="Book Antiqua" w:hAnsi="Book Antiqua"/>
          <w:color w:val="000000"/>
          <w:sz w:val="24"/>
          <w:szCs w:val="24"/>
          <w:lang w:eastAsia="el-GR"/>
        </w:rPr>
        <w:t xml:space="preserve">Για την οργανωτική δομή των ΦΟΔΣΑ με τη μορφή συνδέσμου ΟΤΑ εφαρμόζεται η παρ. 5 του άρθρου 247 του ν.3463/06 και το άρθρο 10  του ν.3584/07. </w:t>
      </w:r>
    </w:p>
    <w:p>
      <w:pPr>
        <w:pStyle w:val="ListParagraph"/>
        <w:numPr>
          <w:ilvl w:val="0"/>
          <w:numId w:val="17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Στην περίπτωση ΦΟΔΣΑ που λειτουργεί με τη μορφή της Α.Ε. με απόφαση της Γ.Σ. συντάσσεται εσωτερικός κανονισμός προσωπικού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Pr>
          <w:rFonts w:eastAsia="Times New Roman" w:ascii="Book Antiqua" w:hAnsi="Book Antiqua"/>
          <w:sz w:val="24"/>
          <w:szCs w:val="24"/>
          <w:lang w:eastAsia="el-GR"/>
        </w:rPr>
        <w:t xml:space="preserve">προϊσταμένων. Ο Εσωτερικός Κανονισμός προσωπικού κυρώνεται από το Σώμα Επιθεώρησης Εργασίας, σύμφωνα με τις κείμενες διατάξεις.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i/>
          <w:i/>
          <w:iCs/>
          <w:sz w:val="24"/>
          <w:szCs w:val="24"/>
          <w:lang w:eastAsia="el-GR"/>
        </w:rPr>
      </w:pPr>
      <w:r>
        <w:rPr>
          <w:rFonts w:eastAsia="Times New Roman" w:ascii="Book Antiqua" w:hAnsi="Book Antiqua"/>
          <w:i/>
          <w:iCs/>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227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 xml:space="preserve">Ενημέρωση Δημοτικών Συμβουλίων και ΟΤΑ  </w:t>
      </w:r>
    </w:p>
    <w:p>
      <w:pPr>
        <w:pStyle w:val="ListParagraph"/>
        <w:numPr>
          <w:ilvl w:val="0"/>
          <w:numId w:val="177"/>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Το σχέδιο καθορισμού της τιμολογιακής πολιτικής του άρθρου 222, καθώς και το σχέδιο του τεχνικού προγράμματος του ΦΟΔΣΑ, αποστέλλονται μέχρι το τέλος του 6</w:t>
      </w:r>
      <w:r>
        <w:rPr>
          <w:rFonts w:eastAsia="Times New Roman" w:ascii="Book Antiqua" w:hAnsi="Book Antiqua"/>
          <w:sz w:val="24"/>
          <w:szCs w:val="24"/>
          <w:vertAlign w:val="superscript"/>
          <w:lang w:eastAsia="el-GR"/>
        </w:rPr>
        <w:t>ου</w:t>
      </w:r>
      <w:r>
        <w:rPr>
          <w:rFonts w:eastAsia="Times New Roman" w:ascii="Book Antiqua" w:hAnsi="Book Antiqua"/>
          <w:sz w:val="24"/>
          <w:szCs w:val="24"/>
          <w:lang w:eastAsia="el-GR"/>
        </w:rPr>
        <w:t xml:space="preserve"> μήνα κάθε ημερολογιακού έτους από τον Πρόεδρο του Δ.Σ. του ΦΟΔΣΑ στα δημοτικά συμβούλια των Δήμων- μελών του ΦΟΔΣΑ προς παροχή γνώμης εντός μηνός από την αποστολή τους. Μετά την παρέλευση της ανωτέρω προθεσμίας, εγκρίνονται από τα αρμόδια διοικητικά όργανα του ΦΟΔΣΑ.</w:t>
      </w:r>
    </w:p>
    <w:p>
      <w:pPr>
        <w:pStyle w:val="ListParagraph"/>
        <w:numPr>
          <w:ilvl w:val="0"/>
          <w:numId w:val="177"/>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Μέχρι την 31</w:t>
      </w:r>
      <w:r>
        <w:rPr>
          <w:rFonts w:eastAsia="Times New Roman" w:ascii="Book Antiqua" w:hAnsi="Book Antiqua"/>
          <w:sz w:val="24"/>
          <w:szCs w:val="24"/>
          <w:vertAlign w:val="superscript"/>
          <w:lang w:eastAsia="el-GR"/>
        </w:rPr>
        <w:t>η</w:t>
      </w:r>
      <w:r>
        <w:rPr>
          <w:rFonts w:eastAsia="Times New Roman" w:ascii="Book Antiqua" w:hAnsi="Book Antiqua"/>
          <w:sz w:val="24"/>
          <w:szCs w:val="24"/>
          <w:lang w:eastAsia="el-GR"/>
        </w:rPr>
        <w:t xml:space="preserve"> Ιανουαρίου κάθε έτους αποστέλλεται από τον Πρόεδρο Δ.Σ. του ΦΟΔΣΑ στα Δημοτικά Συμβούλια των Δήμων - μελών του ΦΟΔΣΑ ετήσιος απολογισμός και προγραμματισμός της επόμενης χρονιάς με βάση το οικείο ΠΕΣΔΑ, ο οποίος εισάγεται ως θέμα στην αμέσως επόμενη ημερήσια διάταξη του Δημοτικού Συμβουλίου, καθώς και στη Γενική Γραμματεία Συντονισμού Διαχείρισης Αποβλήτων του Υπουργείου Εσωτερικών και στη Γενική Γραμματεία Περιβάλλοντος του Υπουργείου Περιβάλλοντος και Ενέργειας. </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228</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Αντισταθμιστικό όφελος</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1958/2012 ΥΑ, όπως τροποποιήθηκε και ισχύει, «αντισταθμιστικό όφελος» ύψους </w:t>
      </w:r>
      <w:r>
        <w:rPr>
          <w:rFonts w:eastAsia="Times New Roman" w:ascii="Book Antiqua" w:hAnsi="Book Antiqua"/>
          <w:bCs/>
          <w:sz w:val="24"/>
          <w:szCs w:val="24"/>
          <w:lang w:eastAsia="el-GR"/>
        </w:rPr>
        <w:t xml:space="preserve">ενός τοις εκατό (1%) </w:t>
      </w:r>
      <w:r>
        <w:rPr>
          <w:rFonts w:eastAsia="Times New Roman" w:ascii="Book Antiqua" w:hAnsi="Book Antiqua"/>
          <w:b/>
          <w:bCs/>
          <w:sz w:val="24"/>
          <w:szCs w:val="24"/>
          <w:lang w:eastAsia="el-GR"/>
        </w:rPr>
        <w:t>κατ’ελάχιστον</w:t>
      </w:r>
      <w:r>
        <w:rPr>
          <w:rFonts w:eastAsia="Times New Roman" w:ascii="Book Antiqua" w:hAnsi="Book Antiqua"/>
          <w:bCs/>
          <w:sz w:val="24"/>
          <w:szCs w:val="24"/>
          <w:lang w:eastAsia="el-GR"/>
        </w:rPr>
        <w:t>,</w:t>
      </w:r>
      <w:r>
        <w:rPr>
          <w:rFonts w:eastAsia="Times New Roman" w:ascii="Book Antiqua" w:hAnsi="Book Antiqua"/>
          <w:sz w:val="24"/>
          <w:szCs w:val="24"/>
          <w:lang w:eastAsia="el-GR"/>
        </w:rPr>
        <w:t xml:space="preserve">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αντισταθμισιτκό όφελος καταβάλλεται,  εντός δύο μηνών από τη λήξη του οικονομικού έτους.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Τα ποσά του «αντισταθμιστικού οφέλους» διατίθενται από τους δήμους αποκλειστικά για περιβαλλοντικά έργα και δράσεις </w:t>
      </w:r>
      <w:r>
        <w:rPr>
          <w:rFonts w:eastAsia="Times New Roman" w:ascii="Book Antiqua" w:hAnsi="Book Antiqua"/>
          <w:bCs/>
          <w:sz w:val="24"/>
          <w:szCs w:val="24"/>
          <w:lang w:eastAsia="el-GR"/>
        </w:rPr>
        <w:t>κατά 60% εντός της κοινότητας όπου κείται η εγκατάσταση και κατά 40% εντός των όμορων με αυτή κοινοτήτων</w:t>
      </w:r>
      <w:r>
        <w:rPr>
          <w:rFonts w:eastAsia="Times New Roman" w:ascii="Book Antiqua" w:hAnsi="Book Antiqua"/>
          <w:sz w:val="24"/>
          <w:szCs w:val="24"/>
          <w:lang w:eastAsia="el-GR"/>
        </w:rPr>
        <w:t xml:space="preserve">. Εάν η όμορη κοινότητα ανήκει σε άλλο Δήμο, το αντισταθμιστικό όφελος καταβάλλεται στον αρμόδιο Δήμο.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αντισταθμιστικό όφελος αυτό δαπανάται για τις δράσεις της παρ.2 του παρόντος εντός πέντε (5) ετών από την καταβολή του στον οικείο Δήμο και υποβάλλεται ετησίως έκθεση στο ΥΠΕΝ και στη Γενική Γραμματεία Συντονισμού και Διαχείρισης Αποβλήτων.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Με απόφαση των Υπουργών Εσωτερικών και Περιβάλλοντος και Ενέργειας δύναται να ρυθμίζονται λεπτομέρειες εφαρμογής του παρόντος άρθρου.</w:t>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229</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Πειθαρχικό αδίκημα</w:t>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περ. β, 4, της παρ. </w:t>
      </w:r>
      <w:r>
        <w:rPr>
          <w:rFonts w:eastAsia="Times New Roman" w:ascii="Book Antiqua" w:hAnsi="Book Antiqua"/>
          <w:sz w:val="24"/>
          <w:szCs w:val="24"/>
          <w:lang w:val="en-US" w:eastAsia="el-GR"/>
        </w:rPr>
        <w:t>I</w:t>
      </w:r>
      <w:r>
        <w:rPr>
          <w:rFonts w:eastAsia="Times New Roman" w:ascii="Book Antiqua" w:hAnsi="Book Antiqua"/>
          <w:sz w:val="24"/>
          <w:szCs w:val="24"/>
          <w:lang w:eastAsia="el-GR"/>
        </w:rPr>
        <w:t xml:space="preserve">, του άρθρου 75 του ν. 3463/2006 ή του παρόντος νόμου ή την κείμενη σχετική νομοθεσία ή δεν εκτελεί τέτοιες πράξεις που ευρίσκονται εν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διαπράττει πειθαρχικό παράπτωμα κατ’ άρθρον 233 του ν.3852/2010.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Μεταβατικές Διατάξεις</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Εντός αποκλειστικής προθεσμίας τεσσάρων μηνών από την έναρξη ισχύος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Οι «Περιφερειακοί ΦΟΔΣΑ» που συστήθηκαν ή λειτουργούν δυνάμει του άρθρου 13 του ν.4071/2012, για τους οποίους έχουν  δημοσιευθεί στο ΦΕΚ οι αποφάσεις  συγχώνευσης του συνόλου των νομικών προσώπων που ασκούσαν αρμοδιότητες ΦΟΔΣΑ εντός της οικείας περιφέρειας κατά το  άρθρο 16 του ν. 4071/2012, οφείλουν να προσαρμοσθούν στις διατάξεις  του παρόντος Μέρους.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Οι Δήμοι - μέλη των «Περιφερειακών ΦΟΔΣΑ» που συστήθηκαν ή λειτουργούν  σύμφωνα με τις διατάξεις του ν.4071/2012 και  συμμετέχουν και σε άλλους ΦΟΔΣΑ ή ασκούν αυτοτελώς αρμοδιότητες ΦΟΔΑ και για τους οποίους δεν έχει δημοσιευθεί η απόφαση συγχώνευσης  στον «Περιφερειακό  ΦΟΔΣΑ» σύμφωνα με τις διατάξεις του ν. 4071/2012,  αποφασίζουν είτε την παραμονή τους στον «Περιφερειακό ΦΟΔΣΑ» του ν.4071/2012 , ο οποίος θα λειτουργεί σύμφωνα με τις διατάξεις του παρόντος νόμου, ή τη συμμετοχή σε υφιστάμενους κατά τη δημοσίευση του παρόντος ΦΟΔΣΑ, για τους οποίους πρέπει να πληρούνται οι προϋποθέσεις της παρ.3 του άρθρου 210 και του τελευταίου εδαφίου της περ. γ του παρόντος άρθρου.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Δήμοι που μετέχουν σε ΦΟΔΣΑ που δεν πληροί τα κριτήρια της παρ.3 του άρθρου 210 του παρόντος Μέρους είτε : α) αποφασίζουν τη διάλυση του νομικού προσώπου στο οποίο συμμετέχουν ως μέλη και εντάσσονται αυτοτελώς σε ΦΟΔΣΑ που πληροί τα κριτήρια της παρ.3 του άρθρου 210 του παρόντος Μέρους, είτε β) ιδρύουν ΦΟΔΣΑ σύμφωνα με την παρ.3 του άρθρου 210 του παρόντος Μέρους είτε γ) αποφασίζουν τη συγχώνευση του ΦΟΔΣΑ του οποίου αποτελούν μέλη με άλλο νομικό πρόσωπο , έτσι ώστε να πληρούνται τα κριτήρια του παρόντος Μέρους.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 </w:t>
      </w:r>
      <w:r>
        <w:rPr>
          <w:rFonts w:eastAsia="Times New Roman" w:ascii="Book Antiqua" w:hAnsi="Book Antiqua"/>
          <w:sz w:val="24"/>
          <w:szCs w:val="24"/>
          <w:lang w:eastAsia="el-GR"/>
        </w:rPr>
        <w:t>Οι «Περιφερειακοί ΦΟΔΣΑ» που συστήθηκαν και λειτουργούν με τις διατάξεις του  ν.4071/2012  με τη μορφή ανώνυμης εταιρείας τροποποιούν το καταστατικό τους σύμφωνα με τις αποφάσεις των Δήμων  της οικείας περιφέρειας και λαμβάνουν τις απαιτούμενες αποφάσεις, ώστε να λειτουργήσουν  ως ΦΟΔΣΑ της παρ. 3 του άρθρου 210.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t>γ) Οι σύνδεσμοι ή οι ανώνυμες εταιρείες ή άλλες επιχειρήσεις και νομικά πρόσωπα δημοσίου δικαίου των Ο.Τ.Α. α’ βαθμού που είχαν συσταθεί πριν το έτος 2013 ως ΦΟΔΣΑ και ασκούσαν αρμοδιότητες ΦΟΔΣΑ χωρίς να αποτελούν «Περιφερειακούς ΦΟΔΣΑ» του άρθρου 13 του ν.4071/2012 και χωρίς να έχουν συγχωνευθεί κατά τις διατυπώσεις του άρθρου 16 του ν. 4071/2012 στους «Περιφερειακούς ΦΟΔΣΑ» του άρθρου 13 του ιδίου νόμου, δύνανται να τροποποιήσουν  τη συστατική τους πράξη  και να λάβουν τις απαιτούμενες αποφάσεις ώστε να λειτουργήσουν ως ΦΟΔΣΑ του άρθρου 210.</w:t>
      </w:r>
      <w:r>
        <w:rPr>
          <w:rFonts w:eastAsia="Times New Roman" w:cs="Arial Narrow" w:ascii="Book Antiqua" w:hAnsi="Book Antiqua"/>
          <w:b/>
          <w:color w:val="000000"/>
          <w:sz w:val="24"/>
          <w:szCs w:val="24"/>
          <w:lang w:eastAsia="el-GR"/>
        </w:rPr>
        <w:t xml:space="preserve"> </w:t>
      </w:r>
      <w:r>
        <w:rPr>
          <w:rFonts w:eastAsia="Times New Roman" w:cs="Arial Narrow" w:ascii="Book Antiqua" w:hAnsi="Book Antiqua"/>
          <w:color w:val="000000"/>
          <w:sz w:val="24"/>
          <w:szCs w:val="24"/>
          <w:lang w:eastAsia="el-GR"/>
        </w:rPr>
        <w:t xml:space="preserve">Στην περίπτωση αυτή, η απόφαση της περ. α της παρ. 3 του ως άνω άρθρου λαμβάνεται από τα δημοτικά συμβούλια των ΟΤΑ που αντιστοιχούν στο 70% κατ΄ελάχιστο του πληθυσμού των ΟΤΑ που συμμετέχουν στους ΦΟΔΣΑ αυτούς. </w:t>
      </w:r>
    </w:p>
    <w:p>
      <w:pPr>
        <w:pStyle w:val="Normal"/>
        <w:shd w:val="clear" w:color="auto" w:fill="FFFFFF"/>
        <w:spacing w:lineRule="auto" w:line="360" w:beforeAutospacing="1" w:afterAutospacing="1"/>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Σε περίπτωση που δεν πληρούνται οι προϋποθέσεις της παρ. 3 του άρθρου 210, καθώς και η προϋπόθεση του  προηγούμενου εδαφίου, οι φορείς της παρούσας περίπτωσης , μετά την παρέλευση της προθεσμίας της παρ.1 και εντός έξι μηνών από τη δημοσίευση του παρόντος, συγχωνεύονται κατά την κατωτέρω διαδικασία στον όμορο, σύμφωνα με την αρχή της εγγύτητας και τις προβλέψεις του οικείου ΠΕΣΔΑ, ΦΟΔΣΑ που πληροί τις προϋποθέσεις της παρ. 3 του άρθρου 210. Οι ανωτέρω φορείς μέχρι τη συγχώνευσή τους </w:t>
      </w:r>
      <w:r>
        <w:rPr>
          <w:rFonts w:eastAsia="Times New Roman" w:ascii="Book Antiqua" w:hAnsi="Book Antiqua"/>
          <w:color w:val="000000"/>
          <w:sz w:val="24"/>
          <w:szCs w:val="24"/>
          <w:lang w:eastAsia="el-GR"/>
        </w:rPr>
        <w:t xml:space="preserve">συνεχίζουν να λειτουργούν και να ασκούν τις αρμοδιότητες τους. Επιπροσθέτως λαμβάνουν όλα τα αναγκαία μέτρα και μεριμνούν για την ομαλή μετάβαση των λειτουργιών τους στο ΦΟΔΣΑ στον οποίο συγχωνεύονται.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 </w:t>
      </w:r>
      <w:r>
        <w:rPr>
          <w:rFonts w:eastAsia="Times New Roman" w:ascii="Book Antiqua" w:hAnsi="Book Antiqua"/>
          <w:color w:val="000000"/>
          <w:sz w:val="24"/>
          <w:szCs w:val="24"/>
          <w:lang w:eastAsia="el-GR"/>
        </w:rPr>
        <w:t xml:space="preserve">Η συγχώνευση και η μεταβίβαση της κινητής και ακίνητης περιουσίας των  φορέων της παρούσας περίπτωσης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μετά από  </w:t>
      </w:r>
      <w:r>
        <w:rPr>
          <w:rFonts w:eastAsia="Times New Roman" w:ascii="Book Antiqua" w:hAnsi="Book Antiqua"/>
          <w:sz w:val="24"/>
          <w:szCs w:val="24"/>
          <w:lang w:eastAsia="el-GR"/>
        </w:rPr>
        <w:t>καταγραφή</w:t>
      </w:r>
      <w:r>
        <w:rPr>
          <w:rFonts w:eastAsia="Times New Roman" w:ascii="Book Antiqua" w:hAnsi="Book Antiqua"/>
          <w:color w:val="000000"/>
          <w:sz w:val="24"/>
          <w:szCs w:val="24"/>
          <w:lang w:eastAsia="el-GR"/>
        </w:rPr>
        <w:t xml:space="preserve">  των περιουσιακών τους στοιχείων, σύμφωνα με την εξής διαδικασία:</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γα) Με απόφαση του Συντονιστή της Αποκεντρωμένης Διοίκησης, εντός προθεσμίας δεκα ημερών από την παρέλευση της προθεσμιας της παρ. 1, συστήνεται για κάθε ΦΟΔΣΑ στον οποίο συγχωνεύονται οι φορείς της  περίπτωσης γ, Επιτροπή Καταγραφής, με  σκοπό την καταγραφή της περιουσίας των φορέων, αποτελούμενη από έναν εκπρόσωπο της οικείας Αποκεντρωμένης Διοίκησης, τους πρόεδρους  των  συγχωνευόμενων  φορέων, εκαστος εκ των οποίων μετέχει  στη σύνθεση της επιτροπής όταν καταγράφεται η περιουσία του αντίστοιχου νομικου προσωπου  και έναν εκπρόσωπο του ΦΟΔΣΑ.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στον ΦΟΔΣΑ στον οποίο θα συγχωνευτούν οι φορείς της  περίπτωσης γ και στον Συντονιστή της Αποκεντρωμένης Διοίκησης, για την έκδοση της πράξης συγχώνευσης και μεταβίβασης της κινητής και ακινήτου περιουσίας τους.  </w:t>
      </w:r>
      <w:r>
        <w:rPr>
          <w:rFonts w:eastAsia="Times New Roman" w:ascii="Book Antiqua" w:hAnsi="Book Antiqua"/>
          <w:color w:val="000000"/>
          <w:sz w:val="24"/>
          <w:szCs w:val="24"/>
          <w:lang w:eastAsia="el-GR"/>
        </w:rPr>
        <w:t>Από τη δημοσίευση της ανωτέρω απόφασης, ο  ΦΟΔΣΑ στον οποίο συγχωνεύονται τα νομικά πρόσωπα  της  περίπτωσης θεωρείται καθολικός διάδοχος σε όλη την κινητή και ακίνητη περιουσία τους και  υπεισέρχεται, αυτοδικαίως, υπό την ανωτέρω ιδιότητα σε όλα τα δικαιώματα και υποχρεώσεις αυτών, στα οποία περιλαμβάνονται και όσα προκύπτουν από συμβάσεις έργου</w:t>
      </w:r>
      <w:r>
        <w:rPr>
          <w:rFonts w:eastAsia="Times New Roman" w:ascii="Book Antiqua" w:hAnsi="Book Antiqua"/>
          <w:b/>
          <w:color w:val="000000"/>
          <w:sz w:val="24"/>
          <w:szCs w:val="24"/>
          <w:lang w:eastAsia="el-GR"/>
        </w:rPr>
        <w:t>.</w:t>
      </w:r>
      <w:r>
        <w:rPr>
          <w:rFonts w:eastAsia="Times New Roman" w:ascii="Book Antiqua" w:hAnsi="Book Antiqua"/>
          <w:color w:val="000000"/>
          <w:sz w:val="24"/>
          <w:szCs w:val="24"/>
          <w:lang w:eastAsia="el-GR"/>
        </w:rPr>
        <w:t xml:space="preserve">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Για την απόδοση των περιουσιακών στοιχείων συντάσσεται σχετικό πρωτόκολλο. Οι αποφάσεις που αφορούν ακίνητα μεταγράφονται ατελώς στα βιβλία μεταγραφών του αρμόδιου Κτηματολογικού Γραφείου. Οι διατάξεις του παρόντος δεν θίγουν το περιεχόμενο και τους όρους διαθηκών, κωδικέλλων ή δωρεών ως προς τις διατάξεις τους.</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γβ) Η συγχώνευση νομικών προσώπων με  τη μορφή ανωνύμων εταιρειών της περίπτωσης γ τον   ΦΟΔΣΑ που πληροί τις προϋποθέσεις της παρ 3 του άρθρου 210 του παρόντος Μέρους, συντελείται με την  πράξη του Συντονιστή της Αποκεντρωμένης Διοίκησης που εκδίδεται κατά τις διατάξεις της παρούσας παραγράφου. Οι εταιρείες λύονται αυτοδικαίως χωρίς να επακολουθήσει εκκαθάριση. Με απόφαση του διοικητικού συμβουλίου της εταιρείας, που λαμβάνεται εντός δέκα (10) ημερών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Για θέματα που διέπουν  τη λειτουργία των ΦΟΔΣΑ και ΦΟ.Σ.ΠΕΣΔΑ και δεν ρυθμίζονται από ειδικές διατάξεις του παρόντος Μέρους, εφαρμόζονται αναλογικά οι σχετικές περί συνδέσμων διατάξεις του ν. 3463/2006, όπως κάθε φορά ισχύουν.</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γγ) Σε περίπτωση που  ο  ΦΟΔΣΑ στον οποίο συγχωνεύεται οι φορεις της  περιπτωσης  γ, λειτουργεί υπο μορφή ΑΕ, τα αρμόδια όργανα διοίκησης της </w:t>
      </w:r>
      <w:r>
        <w:rPr>
          <w:rFonts w:eastAsia="Times New Roman" w:ascii="Book Antiqua" w:hAnsi="Book Antiqua"/>
          <w:sz w:val="24"/>
          <w:szCs w:val="24"/>
          <w:lang w:eastAsia="el-GR"/>
        </w:rPr>
        <w:t xml:space="preserve">προβαίνουν  αμελλητί στη λήψη των σχετικών αποφάσεων και σε κάθε  απαιτούμενη εκ του νόμου και του καταστατικού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 .   </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 </w:t>
      </w:r>
      <w:r>
        <w:rPr>
          <w:rFonts w:eastAsia="Times New Roman" w:ascii="Book Antiqua" w:hAnsi="Book Antiqua"/>
          <w:sz w:val="24"/>
          <w:szCs w:val="24"/>
          <w:lang w:eastAsia="el-GR"/>
        </w:rPr>
        <w:t xml:space="preserve">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226 του παρόντος Μέρους, κατά κατηγορία/ εκπαιδευτική βαθμίδα και κλάδο/ ειδικότητα. Στην περίπτωση που στον οικείο ΟΕΥ δεν υπάρχουν κενές θέσεις, αυτές δημιουργούνται με τροποποίησή του εντός προθεσμίας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οποιοδήποτε τρόπο.  Η πράξη κατάταξης του προσωπικού εκδίδεται από το αρμόδιο προς διορισμό όργανο και δημοσιεύεται στην Εφημερίδα της Κυβερνήσεως.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προσωπικό διέπεται από το ασφαλιστικό και συνταξιοδοτικό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προϋπηρεσία του στους υπό συγχώνευση φορείς αναγνωρίζεται, για κάθε συνέπεια.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Προκηρυσσόμενες θέσεις των ΦΟΔΣΑ που συγχωνεύονται μεταφέρονται στον φορέα που προκύπτει από τη συγχώνευση, που συνεχίζει τη διαδικασία πρόσληψης, σύμφωνα με την κείμενη νομοθεσία.</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Το προσωπικό των προς συγχώνευση ΦΟΔΣΑ με τη μορφή Α.Ε., κατατάσσεται σε αντίστοιχες οργανικές θέσεις του Εσωτερικού Κανονισμού Προσωπικού , που συστήνονται σύμφωνα με τις διατάξεις του άρθρου 226 παρ. 2 του παρόντος Μέρους, κατά  εκπαιδευτική βαθμίδα και ειδικότητα. Στην περίπτωση που στον οικείο Εσωτερικό Κανονισμό Προσωπικό δεν υπάρχουν κενές θέσεις, αυτές δημιουργούνται με τροποποίησή του εντός προθεσμίας έξι (6) μηνών από την έναρξη ισχύος του παρόντος. Η πράξη κατάταξης του προσωπικού εκδίδεται από το αρμόδιο προς διορισμό όργανο.</w:t>
      </w:r>
    </w:p>
    <w:p>
      <w:pPr>
        <w:pStyle w:val="Normal"/>
        <w:tabs>
          <w:tab w:val="left" w:pos="8280" w:leader="none"/>
        </w:tabs>
        <w:spacing w:lineRule="auto" w:line="360" w:before="0" w:after="0"/>
        <w:ind w:left="709" w:right="26" w:hanging="0"/>
        <w:jc w:val="both"/>
        <w:rPr>
          <w:rFonts w:ascii="Book Antiqua" w:hAnsi="Book Antiqua" w:eastAsia="Times New Roman"/>
          <w:strike/>
          <w:sz w:val="24"/>
          <w:szCs w:val="24"/>
          <w:lang w:eastAsia="el-GR"/>
        </w:rPr>
      </w:pPr>
      <w:r>
        <w:rPr>
          <w:rFonts w:eastAsia="Times New Roman" w:ascii="Book Antiqua" w:hAnsi="Book Antiqua"/>
          <w:bCs/>
          <w:sz w:val="24"/>
          <w:szCs w:val="24"/>
          <w:lang w:eastAsia="el-GR"/>
        </w:rPr>
        <w:t xml:space="preserve">δ) </w:t>
      </w:r>
      <w:r>
        <w:rPr>
          <w:rFonts w:eastAsia="Times New Roman" w:ascii="Book Antiqua" w:hAnsi="Book Antiqua"/>
          <w:color w:val="000000"/>
          <w:sz w:val="24"/>
          <w:szCs w:val="24"/>
          <w:lang w:eastAsia="el-GR"/>
        </w:rPr>
        <w:t>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εντός τριών μηνών από την έναρξη ισχύος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ε) </w:t>
      </w:r>
      <w:r>
        <w:rPr>
          <w:rFonts w:eastAsia="Times New Roman" w:ascii="Book Antiqua" w:hAnsi="Book Antiqua"/>
          <w:sz w:val="24"/>
          <w:szCs w:val="24"/>
          <w:lang w:eastAsia="el-GR"/>
        </w:rPr>
        <w:t>Με απόφαση των Υπουργών Εσωτερικών και Περιβάλλοντος και Ενέργειας δύνανται να ρυθμίζονται θέματα που αφορούν στην εφαρμογή αυτής της παραγράφου.</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Cs/>
          <w:color w:val="000000"/>
          <w:sz w:val="24"/>
          <w:szCs w:val="24"/>
          <w:lang w:eastAsia="el-GR"/>
        </w:rPr>
      </w:pPr>
      <w:r>
        <w:rPr>
          <w:rFonts w:eastAsia="Times New Roman" w:ascii="Book Antiqua" w:hAnsi="Book Antiqua"/>
          <w:color w:val="000000"/>
          <w:sz w:val="24"/>
          <w:szCs w:val="24"/>
          <w:lang w:eastAsia="el-GR"/>
        </w:rPr>
        <w:t xml:space="preserve">Σε περίπτωση που παρέλθει άπρακτη η προθεσμία της παρ. 2του παρόντος, </w:t>
      </w:r>
      <w:r>
        <w:rPr>
          <w:rFonts w:eastAsia="Times New Roman" w:ascii="Book Antiqua" w:hAnsi="Book Antiqua"/>
          <w:bCs/>
          <w:color w:val="000000"/>
          <w:sz w:val="24"/>
          <w:szCs w:val="24"/>
          <w:lang w:eastAsia="el-GR"/>
        </w:rPr>
        <w:t>ακολουθείται η παρακάτω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b/>
          <w:bCs/>
          <w:sz w:val="24"/>
          <w:szCs w:val="24"/>
          <w:lang w:eastAsia="el-GR"/>
        </w:rPr>
        <w:t xml:space="preserve">α. </w:t>
      </w:r>
      <w:r>
        <w:rPr>
          <w:rFonts w:eastAsia="Times New Roman" w:ascii="Book Antiqua" w:hAnsi="Book Antiqua"/>
          <w:sz w:val="24"/>
          <w:szCs w:val="24"/>
          <w:lang w:eastAsia="el-GR"/>
        </w:rPr>
        <w:t xml:space="preserve">Ο Συντονιστής της οικείας Αποκεντρωμένης Διοίκησης αποστέλλει αιτιολογημένη έκθεση στους Δήμους της οικείας Περιφέρειας που δεν έχουν συμμορφωθεί με υποδείξεις προς εφαρμογή του άρθρου 210.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
          <w:bCs/>
          <w:sz w:val="24"/>
          <w:szCs w:val="24"/>
          <w:lang w:eastAsia="el-GR"/>
        </w:rPr>
        <w:t xml:space="preserve">β. </w:t>
      </w:r>
      <w:r>
        <w:rPr>
          <w:rFonts w:eastAsia="Times New Roman" w:ascii="Book Antiqua" w:hAnsi="Book Antiqua"/>
          <w:bCs/>
          <w:sz w:val="24"/>
          <w:szCs w:val="24"/>
          <w:lang w:eastAsia="el-GR"/>
        </w:rPr>
        <w:t xml:space="preserve">Η παράλειψη της υποχρέωσης συμμόρφωσης στις ανωτέρω υποδείξεις </w:t>
      </w:r>
      <w:r>
        <w:rPr>
          <w:rFonts w:eastAsia="Times New Roman" w:ascii="Book Antiqua" w:hAnsi="Book Antiqua"/>
          <w:sz w:val="24"/>
          <w:szCs w:val="24"/>
          <w:lang w:eastAsia="el-GR"/>
        </w:rPr>
        <w:t>εντός δύο μηνών από την αποστολή της ανωτέρω αιτιολογημένης έκθεσης του Συντονιστή της οικείας Αποκεντρωμένης Διοίκησης</w:t>
      </w:r>
      <w:r>
        <w:rPr>
          <w:rFonts w:eastAsia="Times New Roman" w:ascii="Book Antiqua" w:hAnsi="Book Antiqua"/>
          <w:bCs/>
          <w:sz w:val="24"/>
          <w:szCs w:val="24"/>
          <w:lang w:eastAsia="el-GR"/>
        </w:rPr>
        <w:t xml:space="preserve">, αποτελεί πειθαρχικό παράπτωμα για όλα τα μέλη του δημοτικού συμβουλίου κατά την έννοια των άρθρων 233 επ. του ν. 3852/2010 (Α΄ 87). </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την παρ. 1 του παρόντος εντός ενός (1) μηνός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διαδικασίες του Κώδικα Είσπραξης Δημοσίων Εσόδων. Με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val="en-US" w:eastAsia="el-GR"/>
        </w:rPr>
        <w:t>O</w:t>
      </w:r>
      <w:r>
        <w:rPr>
          <w:rFonts w:eastAsia="Times New Roman" w:ascii="Book Antiqua" w:hAnsi="Book Antiqua"/>
          <w:sz w:val="24"/>
          <w:szCs w:val="24"/>
          <w:lang w:eastAsia="el-GR"/>
        </w:rPr>
        <w:t xml:space="preserve"> Συντονιστής της οικείας Αποκεντρωμένης Διοίκησης : α) εάν η προθεσμία παρέλθει άπρακτη για το σύνολο των Δήμων της Περιφέρειας, συγχωνεύει το σύνολο των φορέων που ασκούν ασκούν αρμοδιότητες ΦΟΔΣΑ στο ΦΟΔΣΑ που συστάθηκε δυνάμει του 13 ν.4071/2012 και β) εάν η προθεσμία παρέλθει άπρακτη για έναν ή περισσότερους Δήμους της οικείας Περιφέρειας, ο Συντονιστής της Αποκεντρωμένης Διοίκησης εντάσσει με αιτιολογημένη απόφασή του τον Δήμο ή τους Δήμους αυτούς, σε έναν συσταθέντα ΦΟΔΣΑ, σύμφωνα με τις προυποθέσεις του άρθρου 210 του παρόντος και σύμφωνα με τις προβλέψεις του οικείου ΠΕΣΔΑ. Για την ένταξη του ΟΤΑ α’ βαθμού σε ΦΟΔΣΑ που έχει τη μορφή ν.π.δ.δ. εκδίδεται από τον Συντονιστή πράξη ένταξης που δημοσιεύεται στην Εδημερίδα της Κυβέρνησης . Για την ένταξη σε ΦΟΔΣΑ που έχει τη μορφή ανώνυμης εταιρείας, η τελευταία προβαίνει στις απαιτούμενες ενέργειες  για την ένταξη σε αυτή των ΟΤΑ  α’ βαθμού σε συμμόρφωση με την απόφαση του Συντονιστή. </w:t>
      </w:r>
    </w:p>
    <w:p>
      <w:pPr>
        <w:pStyle w:val="ListParagraph"/>
        <w:numPr>
          <w:ilvl w:val="0"/>
          <w:numId w:val="179"/>
        </w:numPr>
        <w:spacing w:lineRule="auto" w:line="360" w:before="0" w:after="0"/>
        <w:ind w:left="720" w:right="26" w:hanging="360"/>
        <w:jc w:val="both"/>
        <w:rPr>
          <w:rFonts w:ascii="Book Antiqua" w:hAnsi="Book Antiqua" w:eastAsia="Times New Roman"/>
          <w:color w:val="FF0000"/>
          <w:sz w:val="24"/>
          <w:szCs w:val="24"/>
          <w:lang w:eastAsia="el-GR"/>
        </w:rPr>
      </w:pPr>
      <w:r>
        <w:rPr>
          <w:rFonts w:eastAsia="Times New Roman" w:ascii="Book Antiqua" w:hAnsi="Book Antiqua"/>
          <w:sz w:val="24"/>
          <w:szCs w:val="24"/>
          <w:lang w:eastAsia="el-GR"/>
        </w:rPr>
        <w:t>Η λειτουργία των ειδικών διαβαθμιδικών συνδέσμων δήμων και περιφερειών, σύμφωνα με τα οριζόμενα στις διατάξεις 105 και 211 του ν.3852/2010 και οι συμβάσεις που έχουν συναφθεί δυνάμει του ν.3389/2005 και δυνάμει της παρ. 5, εξακολουθούν να ισχύουν.</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
          <w:b/>
          <w:color w:val="000000"/>
          <w:sz w:val="24"/>
          <w:szCs w:val="24"/>
          <w:lang w:eastAsia="el-GR"/>
        </w:rPr>
      </w:pPr>
      <w:r>
        <w:rPr>
          <w:rFonts w:eastAsia="Times New Roman" w:cs="Arial Narrow" w:ascii="Book Antiqua" w:hAnsi="Book Antiqua"/>
          <w:color w:val="000000"/>
          <w:sz w:val="24"/>
          <w:szCs w:val="24"/>
          <w:lang w:eastAsia="el-GR"/>
        </w:rPr>
        <w:t>Εντός έξι μηνών από τη δημοσίευση του παρόντος, η κυριότητα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περ. γ’ της παρ. 1 του παρόντος ή σε Δήμο ή σε άλλο ΝΠΔΔ, μεταβιβάζεται υποχρεωτικά στο  ΦΟΔΣΑ που έχει την ευθύνη λειτουργίας τους, χωρίς την επιβολή οποιουδήποτε ανταλλάγματος, τέλους ή φόρου μεταβίβασης.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Άρθρο 231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 xml:space="preserve">Τελικές διατάξεις </w:t>
      </w:r>
    </w:p>
    <w:p>
      <w:pPr>
        <w:pStyle w:val="ListParagraph"/>
        <w:numPr>
          <w:ilvl w:val="0"/>
          <w:numId w:val="18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35" w:right="26" w:hanging="375"/>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Οι διατάξεις του παρόντος δεν εφαρμόζονται στους δήμους της Περιφέρειας  Αττικής. Οι διατάξεις για την ίδρυση και λειτουργία του Ειδικού Διαβαθμιδικού Συνδέσμου Αττικής παραμένουν σε ισχύ, συμπεριλαμβανομένων των άρθρων 13-17 του ν. 4071/2012, κατά το μέρος που αφορούν σε αυτόν. </w:t>
      </w:r>
    </w:p>
    <w:p>
      <w:pPr>
        <w:pStyle w:val="ListParagraph"/>
        <w:numPr>
          <w:ilvl w:val="0"/>
          <w:numId w:val="18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35" w:right="26" w:hanging="375"/>
        <w:jc w:val="both"/>
        <w:rPr>
          <w:rFonts w:ascii="Book Antiqua" w:hAnsi="Book Antiqua" w:eastAsia="Times New Roman"/>
          <w:color w:val="000000"/>
          <w:sz w:val="24"/>
          <w:szCs w:val="24"/>
          <w:lang w:eastAsia="el-GR"/>
        </w:rPr>
      </w:pPr>
      <w:r>
        <w:rPr>
          <w:rFonts w:eastAsia="Times New Roman" w:cs="Arial Narrow" w:ascii="Book Antiqua" w:hAnsi="Book Antiqua"/>
          <w:color w:val="000000"/>
          <w:sz w:val="24"/>
          <w:szCs w:val="24"/>
          <w:lang w:eastAsia="el-GR"/>
        </w:rPr>
        <w:t xml:space="preserve">Για θέματα που διέπουν  τη λειτουργία των ΦΟΔΣΑ και ΦΟ.Σ.ΠΕΣΔΑ και δεν ρυθμίζονται από ειδικές διατάξεις του παρόντος, εφαρμόζονται αναλογικά οι σχετικές περί συνδέσμων διατάξεις του ν. 3463/2006, όπως κάθε φορά ισχύουν . </w:t>
      </w:r>
      <w:r>
        <w:rPr>
          <w:rFonts w:eastAsia="Times New Roman" w:ascii="Book Antiqua" w:hAnsi="Book Antiqua"/>
          <w:b/>
          <w:color w:val="000000"/>
          <w:sz w:val="24"/>
          <w:szCs w:val="24"/>
          <w:lang w:eastAsia="el-GR"/>
        </w:rPr>
        <w:t>3.</w:t>
      </w:r>
      <w:r>
        <w:rPr>
          <w:rFonts w:eastAsia="Times New Roman" w:ascii="Book Antiqua" w:hAnsi="Book Antiqua"/>
          <w:color w:val="000000"/>
          <w:sz w:val="24"/>
          <w:szCs w:val="24"/>
          <w:lang w:eastAsia="el-GR"/>
        </w:rPr>
        <w:t xml:space="preserve"> 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213 του παρόντος, αντισυμβαλλόμενος του ΦΟΔΣΑ μπορεί να είναι μόνο Δήμος-μέλος του ή η Περιφέρεια στην οποία ανήκει.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Άρθρο 232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Καταργούμενες διατάξεις</w:t>
      </w:r>
    </w:p>
    <w:p>
      <w:pPr>
        <w:pStyle w:val="ListParagraph"/>
        <w:numPr>
          <w:ilvl w:val="0"/>
          <w:numId w:val="181"/>
        </w:numPr>
        <w:tabs>
          <w:tab w:val="left" w:pos="8280"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Από την έναρξη ισχύος του παρόντος καταργούνται οι διατάξεις της παρ.1 και 5 του άρθρου 30 του ν.3536/2007, του άρθρου 17 του ν.4164/2013, της περ. β της παρ. 2 του άρθρου 35 του ν.4042/2012 και των άρθρων 5 και 6 της ΚΥΑ 2527/2009. </w:t>
      </w:r>
    </w:p>
    <w:p>
      <w:pPr>
        <w:pStyle w:val="ListParagraph"/>
        <w:numPr>
          <w:ilvl w:val="0"/>
          <w:numId w:val="1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διατάξεις των άρθρων 13-17 του ν. 4071/2012 καταργούνται ως προς τα νομικά πρόσωπα του παρόντος, με την επιφύλαξη του άρθρου 231.</w:t>
      </w:r>
    </w:p>
    <w:p>
      <w:pPr>
        <w:pStyle w:val="ListParagraph"/>
        <w:numPr>
          <w:ilvl w:val="0"/>
          <w:numId w:val="1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Από την έναρξη ισχύος του παρόντος κάθε γενική ή ειδική διάταξη, η οποία είναι αντίθετη με τις ρυθμίσεις του, 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r>
    </w:p>
    <w:p>
      <w:pPr>
        <w:pStyle w:val="Normal"/>
        <w:spacing w:lineRule="auto" w:line="360" w:before="0" w:after="0"/>
        <w:jc w:val="center"/>
        <w:rPr>
          <w:rFonts w:ascii="Book Antiqua" w:hAnsi="Book Antiqua" w:eastAsia="Times New Roman"/>
          <w:b/>
          <w:b/>
          <w:sz w:val="24"/>
          <w:szCs w:val="24"/>
          <w:u w:val="single"/>
          <w:lang w:eastAsia="el-GR"/>
        </w:rPr>
      </w:pPr>
      <w:bookmarkStart w:id="49" w:name="_Hlk501481028"/>
      <w:bookmarkStart w:id="50" w:name="_Hlk501481028"/>
      <w:bookmarkEnd w:id="50"/>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ΤΡΙΤΟ</w:t>
      </w:r>
    </w:p>
    <w:p>
      <w:pPr>
        <w:pStyle w:val="Normal"/>
        <w:spacing w:lineRule="auto" w:line="360"/>
        <w:jc w:val="center"/>
        <w:rPr>
          <w:rFonts w:ascii="Book Antiqua" w:hAnsi="Book Antiqua"/>
          <w:b/>
          <w:b/>
          <w:sz w:val="24"/>
          <w:szCs w:val="24"/>
        </w:rPr>
      </w:pPr>
      <w:r>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pPr>
        <w:pStyle w:val="Normal"/>
        <w:spacing w:lineRule="auto" w:line="360"/>
        <w:jc w:val="center"/>
        <w:rPr>
          <w:rFonts w:ascii="Book Antiqua" w:hAnsi="Book Antiqua"/>
          <w:b/>
          <w:b/>
          <w:sz w:val="24"/>
          <w:szCs w:val="24"/>
        </w:rPr>
      </w:pPr>
      <w:r>
        <w:rPr>
          <w:rFonts w:ascii="Book Antiqua" w:hAnsi="Book Antiqua"/>
          <w:b/>
          <w:sz w:val="24"/>
          <w:szCs w:val="24"/>
        </w:rPr>
        <w:t>Άρθρο 233</w:t>
      </w:r>
    </w:p>
    <w:p>
      <w:pPr>
        <w:pStyle w:val="Normal"/>
        <w:spacing w:lineRule="auto" w:line="360" w:before="0" w:after="0"/>
        <w:ind w:firstLine="720"/>
        <w:jc w:val="both"/>
        <w:rPr>
          <w:rFonts w:ascii="Book Antiqua" w:hAnsi="Book Antiqua"/>
          <w:sz w:val="24"/>
          <w:szCs w:val="24"/>
        </w:rPr>
      </w:pPr>
      <w:r>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 ταχύτερη και ενιαία άσκηση των  αρμοδιοτήτων σχετικών με την απονομή ιθαγένειας και την πολιτογράφηση.</w:t>
      </w:r>
      <w:r>
        <w:rPr>
          <w:rFonts w:ascii="Book Antiqua" w:hAnsi="Book Antiqua"/>
          <w:sz w:val="24"/>
          <w:szCs w:val="24"/>
        </w:rPr>
        <w:t xml:space="preserve"> </w:t>
      </w:r>
    </w:p>
    <w:p>
      <w:pPr>
        <w:pStyle w:val="Normal"/>
        <w:spacing w:lineRule="auto" w:line="360" w:before="0" w:after="0"/>
        <w:ind w:firstLine="720"/>
        <w:jc w:val="both"/>
        <w:rPr>
          <w:rFonts w:ascii="Book Antiqua" w:hAnsi="Book Antiqua"/>
          <w:sz w:val="24"/>
          <w:szCs w:val="24"/>
        </w:rPr>
      </w:pPr>
      <w:r>
        <w:rPr>
          <w:rFonts w:ascii="Book Antiqua" w:hAnsi="Book Antiqua"/>
          <w:sz w:val="24"/>
          <w:szCs w:val="24"/>
        </w:rPr>
      </w:r>
    </w:p>
    <w:p>
      <w:pPr>
        <w:pStyle w:val="Normal"/>
        <w:numPr>
          <w:ilvl w:val="0"/>
          <w:numId w:val="135"/>
        </w:numPr>
        <w:spacing w:lineRule="auto" w:line="360" w:before="0" w:after="0"/>
        <w:jc w:val="both"/>
        <w:rPr>
          <w:rFonts w:ascii="Book Antiqua" w:hAnsi="Book Antiqua"/>
          <w:sz w:val="24"/>
          <w:szCs w:val="24"/>
        </w:rPr>
      </w:pPr>
      <w:r>
        <w:rPr>
          <w:rFonts w:ascii="Book Antiqua" w:hAnsi="Book Antiqua"/>
          <w:sz w:val="24"/>
          <w:szCs w:val="24"/>
        </w:rPr>
        <w:t xml:space="preserve">Από 01.01.2019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του υπηρεσίες, υπαγόμενες στον Ειδικό Τομεακό Γραμματέα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τους μεταφέρονται από 01.01.2019 στις περιφερειακές υπηρεσίες που συστήνονται με το παρόν άρθρο. </w:t>
      </w:r>
    </w:p>
    <w:p>
      <w:pPr>
        <w:pStyle w:val="ListParagraph"/>
        <w:numPr>
          <w:ilvl w:val="0"/>
          <w:numId w:val="135"/>
        </w:numPr>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οργανικές μονάδες που αποτελούν περιφερειακές υπηρεσίες του Υπουργείου Εσωτερικών είναι: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 Από την Αποκεντρωμένη Διοίκηση Αττικής: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αα) η Διεύθυνση Αστικής Κατάστασης Α` και Κοινωνικών Υποθέσεων, η οποία μετονομάζεται σε Διεύθυνση Αστικής Κατάστασης Αθηνών</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ββ) η Διεύθυνση Αστικής Κατάστασης Κεντρικού Τομέα και Δυτικής      Αττικής,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γγ)</w:t>
      </w:r>
      <w:r>
        <w:rPr>
          <w:rFonts w:ascii="Book Antiqua" w:hAnsi="Book Antiqua"/>
          <w:color w:val="000000"/>
          <w:sz w:val="24"/>
          <w:szCs w:val="24"/>
        </w:rPr>
        <w:t xml:space="preserve"> η </w:t>
      </w:r>
      <w:r>
        <w:rPr>
          <w:rFonts w:eastAsia="Times New Roman" w:ascii="Book Antiqua" w:hAnsi="Book Antiqua"/>
          <w:color w:val="000000"/>
          <w:sz w:val="24"/>
          <w:szCs w:val="24"/>
          <w:lang w:eastAsia="el-GR"/>
        </w:rPr>
        <w:t xml:space="preserve">Διεύθυνση Αστικής Κατάστασης Βορείου Τομέα και Ανατολικής Αττικής και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δδ) η</w:t>
      </w:r>
      <w:r>
        <w:rPr>
          <w:rFonts w:ascii="Book Antiqua" w:hAnsi="Book Antiqua"/>
          <w:color w:val="000000"/>
          <w:sz w:val="24"/>
          <w:szCs w:val="24"/>
        </w:rPr>
        <w:t xml:space="preserve"> </w:t>
      </w:r>
      <w:r>
        <w:rPr>
          <w:rFonts w:eastAsia="Times New Roman" w:ascii="Book Antiqua" w:hAnsi="Book Antiqua"/>
          <w:color w:val="000000"/>
          <w:sz w:val="24"/>
          <w:szCs w:val="24"/>
          <w:lang w:eastAsia="el-GR"/>
        </w:rPr>
        <w:t xml:space="preserve">Διεύθυνση Αστικής Κατάστασης Νοτίου Τομέα, Πειραιώς και Νήσων.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β)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Διοίκησης </w:t>
      </w:r>
      <w:r>
        <w:rPr>
          <w:rFonts w:ascii="Book Antiqua" w:hAnsi="Book Antiqua"/>
          <w:color w:val="000000"/>
          <w:sz w:val="24"/>
          <w:szCs w:val="24"/>
        </w:rPr>
        <w:t>Θεσσαλίας - Στερεάς Ελλάδας, η οποία μετονομάζεται σε Διεύθυνση Αστικής Κατάστασης Θεσσαλίας - Στερεάς Ελλάδας.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γ)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Διοίκησης Ηπείρου - Δυτικής Μακεδονίας, η οποία μετονομάζεται σε Διεύθυνση Αστικής Κατάστασης Ηπείρου - Δυτικής Μακεδονίας.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δ)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 xml:space="preserve">Διοίκησης Πελοποννήσου, Δυτικής Ελλάδας και Ιονίου, η οποία μετονομάζεται σε Διεύθυνση Αστικής Κατάστασης Πελοποννήσου, Δυτικής Ελλάδας και Ιονίου.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ascii="Book Antiqua" w:hAnsi="Book Antiqua"/>
          <w:color w:val="000000"/>
          <w:sz w:val="24"/>
          <w:szCs w:val="24"/>
        </w:rPr>
        <w:t>ε) Από την Αποκεντρωμένη Διοίκηση Μακεδονίας – Θράκης:</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eastAsia="Times New Roman"/>
          <w:color w:val="000000"/>
          <w:sz w:val="24"/>
          <w:szCs w:val="24"/>
        </w:rPr>
      </w:pPr>
      <w:r>
        <w:rPr>
          <w:rFonts w:ascii="Book Antiqua" w:hAnsi="Book Antiqua"/>
          <w:color w:val="000000"/>
          <w:sz w:val="24"/>
          <w:szCs w:val="24"/>
        </w:rPr>
        <w:t xml:space="preserve">αα) η Διεύθυνση Αστικής Κατάστασης Θεσσαλονίκης,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ββ) η Διεύθυνση Αστικής Κατάστασης και Κοινωνικών Υποθέσεων Κεντρικής Μακεδονίας,</w:t>
      </w:r>
      <w:r>
        <w:rPr>
          <w:rFonts w:ascii="Book Antiqua" w:hAnsi="Book Antiqua"/>
          <w:sz w:val="24"/>
          <w:szCs w:val="24"/>
        </w:rPr>
        <w:t xml:space="preserve"> </w:t>
      </w:r>
      <w:r>
        <w:rPr>
          <w:rFonts w:ascii="Book Antiqua" w:hAnsi="Book Antiqua"/>
          <w:color w:val="000000"/>
          <w:sz w:val="24"/>
          <w:szCs w:val="24"/>
        </w:rPr>
        <w:t>η οποία μετονομάζεται σε Διεύθυνση Αστικής Κατάστασης Κεντρικής Μακεδονίας,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γγ) η Διεύθυνση Αστικής Κατάστασης και Κοινωνικών Υποθέσεων Ανατολικής Μακεδονίας – Θράκης, η οποία μετονομάζεται σε Διεύθυνση Αστικής Κατάστασης Ανατολικής Μακεδονίας – Θράκης.</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στ) Από την Αποκεντρωμένη Διοίκηση Αιγαίου:</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αα) η Διεύθυνση Αστικής Κατάστασης Μετανάστευσης και Κοινωνικών Υποθέσεων Βορείου Αιγαίου,</w:t>
      </w:r>
      <w:r>
        <w:rPr>
          <w:rFonts w:ascii="Book Antiqua" w:hAnsi="Book Antiqua"/>
          <w:sz w:val="24"/>
          <w:szCs w:val="24"/>
        </w:rPr>
        <w:t xml:space="preserve"> </w:t>
      </w:r>
      <w:r>
        <w:rPr>
          <w:rFonts w:ascii="Book Antiqua" w:hAnsi="Book Antiqua"/>
          <w:color w:val="000000"/>
          <w:sz w:val="24"/>
          <w:szCs w:val="24"/>
        </w:rPr>
        <w:t>η οποία μετονομάζεται σε Διεύθυνση Αστικής Κατάστασης Βορείου Αιγαίου,</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ββ) η Διεύθυνση Αστικής Κατάστασης Μετανάστευσης και Κοινωνικών Υποθέσεων Νοτίου Αιγαίου, η οποία μετονομάζεται σε Διεύθυνση Αστικής Κατάστασης Νοτίου Αιγαίου.</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ζ)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Διοίκησης Κρήτης, η οποία μετονομάζεται σε Διεύθυνση Αστικής Κατάστασης Κρήτης.</w:t>
      </w:r>
    </w:p>
    <w:p>
      <w:pPr>
        <w:pStyle w:val="ListParagraph"/>
        <w:numPr>
          <w:ilvl w:val="0"/>
          <w:numId w:val="135"/>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Οι μεταφερόμενες υπηρεσίες της παραγράφου 2  διατηρούν τη διάρθρωση και τις αρμοδιότητες όπως αυτές προβλέπονται στους, κατά τη δημοσίευση του παρόντος νόμου, ισχύοντες οργανισμούς της οικείας Αποκεντρωμένης Διοίκησης.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pPr>
        <w:pStyle w:val="ListParagraph"/>
        <w:numPr>
          <w:ilvl w:val="0"/>
          <w:numId w:val="135"/>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color w:val="000000"/>
          <w:sz w:val="24"/>
          <w:szCs w:val="24"/>
        </w:rPr>
      </w:pPr>
      <w:r>
        <w:rPr>
          <w:rFonts w:ascii="Book Antiqua" w:hAnsi="Book Antiqua"/>
          <w:color w:val="000000"/>
          <w:sz w:val="24"/>
          <w:szCs w:val="24"/>
        </w:rPr>
        <w:t>α) Τα Τμήματα Κοινωνικών Υποθέσεων και τα Τμήματα Υγείας &amp; Πρόνοιας, που προβλέπονται στους ισχύοντες κατά τη δημοσίευση του παρόντος νόμου οργανισμούς των Αποκεντρωμένων Διοικήσεων Αττικής, Θεσσαλίας - Στερεάς Ελλάδας, Ηπείρου - Δυτικής Μακεδονίας, Πελοποννήσου, Δυτικής Ελλάδας και Ιονίου και Μακεδονίας – Θράκης, εντάσσονται στην αντίστοιχη Διεύθυνση Διοίκησης με το σύνολο των υπαλλήλων που υπηρετούν σε αυτά.</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0"/>
        <w:jc w:val="both"/>
        <w:rPr>
          <w:rFonts w:ascii="Book Antiqua" w:hAnsi="Book Antiqua"/>
          <w:color w:val="000000"/>
          <w:sz w:val="24"/>
          <w:szCs w:val="24"/>
        </w:rPr>
      </w:pPr>
      <w:r>
        <w:rPr>
          <w:rFonts w:ascii="Book Antiqua" w:hAnsi="Book Antiqua"/>
          <w:color w:val="000000"/>
          <w:sz w:val="24"/>
          <w:szCs w:val="24"/>
        </w:rPr>
        <w:t>β) Οι αρμοδιότητες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 Οικονομικού των αντίστοιχων Διευθύνσεων Διοίκησης με το σύνολο  των υπαλλήλων που τις ασκούν. Τα μεταφερόμενα στο Υπουργείο Εσωτερικών Τμήματα Αστικής Κατάστασης και Κοινωνικής Ένταξης ανά νομό μετονομάζονται σε Τμήματα Αστικής Κατάστασης ανά νομό.</w:t>
      </w:r>
    </w:p>
    <w:p>
      <w:pPr>
        <w:pStyle w:val="Normal"/>
        <w:shd w:val="clear" w:color="auto" w:fill="FFFFFF"/>
        <w:tabs>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134" w:hanging="218"/>
        <w:jc w:val="both"/>
        <w:rPr>
          <w:rFonts w:ascii="Book Antiqua" w:hAnsi="Book Antiqua"/>
          <w:color w:val="000000"/>
          <w:sz w:val="24"/>
          <w:szCs w:val="24"/>
        </w:rPr>
      </w:pPr>
      <w:r>
        <w:rPr>
          <w:rFonts w:ascii="Book Antiqua" w:hAnsi="Book Antiqua"/>
          <w:color w:val="000000"/>
          <w:sz w:val="24"/>
          <w:szCs w:val="24"/>
        </w:rPr>
        <w:tab/>
        <w:t xml:space="preserve">γ) Στη Γενική Διεύθυνση Εσωτερικής Λειτουργίας της  Αποκεντρωμένης Διοίκησης Αιγαίου συστήνεται Διεύθυνση Μεταναστευτικής Πολιτικής και Κοινωνικών Υποθέσεων με έδρα τη Ρόδο. Τα Τμήματα Αδειών Διαμονής και Ελέγχου, τα Τμήματα Κοινωνικών Υποθέσεων και τα Τμήματα Υγείας &amp; Πρόνοιας των Διευθύνσεων Αστικής Κατάστασης, Μετανάστευσης και Κοινωνικών Υποθέσεων Βορείου και Νοτίου Αιγαίου εντάσσονται στη συνιστώμενη Διεύθυνση Μεταναστευτικής Πολιτικής και Κοινωνικών Υποθέσεων με το σύνολο των υπαλλήλων που υπηρετούν σε αυτά. </w:t>
        <w:tab/>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1134"/>
        <w:jc w:val="both"/>
        <w:rPr>
          <w:rFonts w:ascii="Book Antiqua" w:hAnsi="Book Antiqua"/>
          <w:color w:val="000000"/>
          <w:sz w:val="24"/>
          <w:szCs w:val="24"/>
        </w:rPr>
      </w:pPr>
      <w:r>
        <w:rPr>
          <w:rFonts w:ascii="Book Antiqua" w:hAnsi="Book Antiqua"/>
          <w:color w:val="000000"/>
          <w:sz w:val="24"/>
          <w:szCs w:val="24"/>
        </w:rPr>
        <w:tab/>
        <w:t xml:space="preserve">    δ) Οι αρμοδιότητες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01.01.2019 σε συνιστώμενα στη Διεύθυνση Μεταναστευτικής Πολιτικής και Κοινωνικών Υποθέσεων της Αποκεντρωμένης Διοίκησης Αιγαίου Τμήματα Μετανάστευσης και Κοινωνικής Ένταξης των νομών Σάμου, Χίου και Κυκλάδων με το σύνολο  των υπαλλήλων που τις ασκούν.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Αστικής Κατάστασης των νομών Σάμου, Χίου και Κυκλάδων.</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0"/>
        <w:jc w:val="both"/>
        <w:rPr>
          <w:rFonts w:ascii="Book Antiqua" w:hAnsi="Book Antiqua"/>
          <w:color w:val="000000"/>
          <w:sz w:val="24"/>
          <w:szCs w:val="24"/>
        </w:rPr>
      </w:pPr>
      <w:r>
        <w:rPr>
          <w:rFonts w:ascii="Book Antiqua" w:hAnsi="Book Antiqua"/>
          <w:color w:val="000000"/>
          <w:sz w:val="24"/>
          <w:szCs w:val="24"/>
        </w:rPr>
        <w:t>ε) Στη συνιστώμενη Διεύθυνση Μεταναστευτικής Πολιτικής και Κοινωνικών Υποθέσεων της Αποκεντρωμένης Διοίκησης Αιγαίου</w:t>
      </w:r>
      <w:r>
        <w:rPr>
          <w:rFonts w:ascii="Book Antiqua" w:hAnsi="Book Antiqua"/>
          <w:sz w:val="24"/>
          <w:szCs w:val="24"/>
        </w:rPr>
        <w:t xml:space="preserve"> </w:t>
      </w:r>
      <w:r>
        <w:rPr>
          <w:rFonts w:ascii="Book Antiqua" w:hAnsi="Book Antiqua"/>
          <w:color w:val="000000"/>
          <w:sz w:val="24"/>
          <w:szCs w:val="24"/>
        </w:rPr>
        <w:t>προΐσταται υπάλληλος των κλάδων ΠΕ Διοικητικού Οικονομικού, ΠΕ Διοικητικού, ΠΕ Κοινωνιολόγων ή ΤΕ Διοικητικού Λογιστικού. Στα συνιστώμενα Τμήματα Μετανάστευσης και Κοινωνικής Ένταξης πρoΐσταται υπάλληλος των κλάδων ΠΕ Διοικητικού, ΠΕ Κοινωνιολόγων ή ΤΕ Διοικητικού-Λογιστικού.</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Οι εκκρεμείς δίκες των Αποκεντρωμένων Διοικήσεων για θέματα ιθαγένειας συνεχίζονται αυτοδικαίως από το Υπουργείο Εσωτερικών χωρίς να διακόπτονται και χωρίς να απαιτείται ειδική διαδικαστική πράξη συνέχισης για την καθεμία από αυτές.</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 xml:space="preserve">Το Υπουργείο Εσωτερικών από την έναρξη άσκησης των μεταφερόμενων σε αυτό αρμοδιοτήτων υπεισέρχεται αυτοδικαίως στις συμβάσεις μίσθωσης ακινήτων που είχαν συναφθεί για τη στέγαση των υπηρεσιών που συνδέονται με τις αρμοδιότητες αυτές, εφόσον οι οικείες υπηρεσίες εξακολουθούν να στεγάζονται στα μισθωμένα ακίνητα. Σε περίπτωση που στο ακίνητο στεγάζονται από κοινού και υπηρεσίες άλλων φορέων, η υπεισέλευση πραγματοποιείται κατ’ αναλογία των χρησιμοποιούμενων ανά φορέα τετραγωνικών μέτρων. Ομοίως, αναλογικά επιμερίζονται και οι λοιπές λειτουργικές δαπάνες.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080" w:hanging="0"/>
        <w:jc w:val="both"/>
        <w:rPr>
          <w:rFonts w:ascii="Book Antiqua" w:hAnsi="Book Antiqua"/>
          <w:color w:val="1F497D"/>
          <w:sz w:val="24"/>
          <w:szCs w:val="24"/>
        </w:rPr>
      </w:pPr>
      <w:r>
        <w:rPr>
          <w:rFonts w:ascii="Book Antiqua" w:hAnsi="Book Antiqua"/>
          <w:sz w:val="24"/>
          <w:szCs w:val="24"/>
        </w:rPr>
        <w:t>8.  Από 1.1.2019 το Υπηρεσιακό Συμβούλιο του Υπουργείου Εσωτερικών είναι αρμόδιο για την υπηρεσιακή κατάσταση του προσωπικού των ιδρυόμενων με το άρθρο αυτό περιφερειακών του υπηρεσιών.</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sz w:val="24"/>
          <w:szCs w:val="24"/>
        </w:rPr>
        <w:t xml:space="preserve">  </w:t>
      </w:r>
      <w:r>
        <w:rPr>
          <w:rFonts w:ascii="Book Antiqua" w:hAnsi="Book Antiqua"/>
          <w:sz w:val="24"/>
          <w:szCs w:val="24"/>
        </w:rPr>
        <w:t>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01.01.2019 προβλέπονται στον προϋπολογισμό του Υπουργείου Εσωτερικών κατά το μέρος που αφορούν τις υπηρεσίες που εντάσσονται σε αυτό.</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sz w:val="24"/>
          <w:szCs w:val="24"/>
        </w:rPr>
        <w:t xml:space="preserve"> </w:t>
      </w:r>
      <w:r>
        <w:rPr>
          <w:rFonts w:ascii="Book Antiqua" w:hAnsi="Book Antiqua"/>
          <w:sz w:val="24"/>
          <w:szCs w:val="24"/>
        </w:rPr>
        <w:t>Το τακτικό προσωπικό των οργανικών μονάδων των Αποκεντρωμένων Διοικήσεων  της παραγράφου 2  καθίσταται αυτοδίκαια από 01.01.2019 προσωπικό του Υπουργείου Εσωτερικών. Με διαπιστωτική πράξη που εκδίδεται από τον Υπουργό Εσωτερικών μέσα σε αποκλειστική προθεσμία ενός (1) μηνός από την ανωτέρω ημερομηνία,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μισθολογικές διαφορές και επιδόματα, που ελάμβαναν εξακολουθούν να διατηρούνται, ως προσωπική διαφορά. Ο χρόνος προϋπηρεσίας τους αναγνωρίζεται για όλες τις υπηρεσιακές και μισθολογικές συνέπειες.</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t xml:space="preserve">Με κοινή απόφαση του Υπουργού Εσωτερικών και του κατά περίπτωση αρμόδιου Υπουργού μπορούν να ρυθμίζονται </w:t>
      </w:r>
      <w:r>
        <w:rPr>
          <w:rFonts w:ascii="Book Antiqua" w:hAnsi="Book Antiqua"/>
          <w:color w:val="000000"/>
          <w:sz w:val="24"/>
          <w:szCs w:val="24"/>
        </w:rPr>
        <w:t xml:space="preserve">ζητήματα που αφορούν την εκτέλεση του προϋπολογισμού, τη </w:t>
      </w:r>
      <w:r>
        <w:rPr>
          <w:rFonts w:ascii="Book Antiqua" w:hAnsi="Book Antiqua"/>
          <w:sz w:val="24"/>
          <w:szCs w:val="24"/>
        </w:rPr>
        <w:t xml:space="preserve">μισθοδοσία, τη μεταφορά πιστώσεων, τη </w:t>
      </w:r>
      <w:r>
        <w:rPr>
          <w:rFonts w:ascii="Book Antiqua" w:hAnsi="Book Antiqua"/>
          <w:color w:val="000000"/>
          <w:sz w:val="24"/>
          <w:szCs w:val="24"/>
        </w:rPr>
        <w:t>στέγαση υπηρεσιών και κάθε άλλο θέμα εφαρμογής του παρόντος άρθρου.</w:t>
      </w:r>
      <w:r>
        <w:rPr>
          <w:rFonts w:ascii="Book Antiqua" w:hAnsi="Book Antiqua"/>
          <w:sz w:val="24"/>
          <w:szCs w:val="24"/>
        </w:rPr>
        <w:tab/>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t>Ο Ειδικός Τομεακός Γραμματέας Ιθαγένειας με απόφασή του δύναται να μεταβιβάζει στους προϊσταμένους των οργανικών μονάδων των περιφερειακών υπηρεσιών ορισμένες από τις αρμοδιότητες του ή το δικαίωμα υπογραφής «με εντολή Ειδικού Τομεακού Γραμματέα Ιθαγένειας Υπουργείου Εσωτερικών».</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ΤΕΤΑΡΤΟ</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ΛΟΙΠΕΣ ΔΙΑΤΑΞΕΙΣ ΑΡΜΟΔΙΟΤΗΤΑΣ ΥΠΟΥΡΓΕΙΟΥ ΕΣΩΤΕΡΙΚΩΝ</w:t>
      </w:r>
    </w:p>
    <w:p>
      <w:pPr>
        <w:pStyle w:val="Normal"/>
        <w:spacing w:lineRule="auto" w:line="360"/>
        <w:jc w:val="center"/>
        <w:rPr>
          <w:rFonts w:ascii="Book Antiqua" w:hAnsi="Book Antiqua"/>
          <w:b/>
          <w:b/>
          <w:sz w:val="24"/>
          <w:szCs w:val="24"/>
          <w:highlight w:val="cyan"/>
        </w:rPr>
      </w:pPr>
      <w:r>
        <w:rPr>
          <w:rFonts w:ascii="Book Antiqua" w:hAnsi="Book Antiqua"/>
          <w:b/>
          <w:sz w:val="24"/>
          <w:szCs w:val="24"/>
          <w:highlight w:val="cyan"/>
        </w:rPr>
      </w:r>
    </w:p>
    <w:p>
      <w:pPr>
        <w:pStyle w:val="Normal"/>
        <w:spacing w:lineRule="auto" w:line="360"/>
        <w:jc w:val="center"/>
        <w:rPr>
          <w:rFonts w:ascii="Book Antiqua" w:hAnsi="Book Antiqua"/>
          <w:b/>
          <w:b/>
          <w:sz w:val="24"/>
          <w:szCs w:val="24"/>
        </w:rPr>
      </w:pPr>
      <w:r>
        <w:rPr>
          <w:rFonts w:ascii="Book Antiqua" w:hAnsi="Book Antiqua"/>
          <w:b/>
          <w:sz w:val="24"/>
          <w:szCs w:val="24"/>
        </w:rPr>
        <w:t>Άρθρο 234</w:t>
      </w:r>
    </w:p>
    <w:p>
      <w:pPr>
        <w:pStyle w:val="Normal"/>
        <w:spacing w:lineRule="auto" w:line="360"/>
        <w:ind w:firstLine="720"/>
        <w:jc w:val="center"/>
        <w:rPr>
          <w:rFonts w:ascii="Book Antiqua" w:hAnsi="Book Antiqua" w:cs="Arial"/>
          <w:b/>
          <w:b/>
          <w:sz w:val="24"/>
          <w:szCs w:val="24"/>
        </w:rPr>
      </w:pPr>
      <w:r>
        <w:rPr>
          <w:rFonts w:cs="Arial" w:ascii="Book Antiqua" w:hAnsi="Book Antiqua"/>
          <w:b/>
          <w:sz w:val="24"/>
          <w:szCs w:val="24"/>
        </w:rPr>
        <w:t>Θέματα ληξιαρχικών πράξεων</w:t>
      </w:r>
    </w:p>
    <w:p>
      <w:pPr>
        <w:pStyle w:val="ListParagraph"/>
        <w:numPr>
          <w:ilvl w:val="0"/>
          <w:numId w:val="153"/>
        </w:numPr>
        <w:spacing w:lineRule="auto" w:line="360"/>
        <w:ind w:left="1134" w:hanging="354"/>
        <w:jc w:val="both"/>
        <w:rPr>
          <w:rFonts w:ascii="Book Antiqua" w:hAnsi="Book Antiqua" w:cs="Arial"/>
          <w:sz w:val="24"/>
          <w:szCs w:val="24"/>
        </w:rPr>
      </w:pPr>
      <w:r>
        <w:rPr>
          <w:rFonts w:cs="Arial" w:ascii="Book Antiqua" w:hAnsi="Book Antiqua"/>
          <w:sz w:val="24"/>
          <w:szCs w:val="24"/>
        </w:rPr>
        <w:t>Η παρ.3 του άρθρου 34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cs="Arial"/>
          <w:sz w:val="24"/>
          <w:szCs w:val="24"/>
        </w:rPr>
      </w:pPr>
      <w:r>
        <w:rPr>
          <w:rFonts w:cs="Arial" w:ascii="Book Antiqua" w:hAnsi="Book Antiqua"/>
          <w:sz w:val="24"/>
          <w:szCs w:val="24"/>
        </w:rPr>
        <w:t>«3. Στη ληξιαρχική πράξη σημειώνεται από τον ληξίαρχο, με βάση τη δήλωση του δηλούντος το θάνατο και ο ακριβής τόπος ενταφιασμού ή αποτέφρωσης, καθώς και η ημερομηνία και η ώρα αυτού».</w:t>
      </w:r>
    </w:p>
    <w:p>
      <w:pPr>
        <w:pStyle w:val="ListParagraph"/>
        <w:numPr>
          <w:ilvl w:val="0"/>
          <w:numId w:val="153"/>
        </w:numPr>
        <w:spacing w:lineRule="auto" w:line="360"/>
        <w:ind w:left="1134" w:hanging="283"/>
        <w:jc w:val="both"/>
        <w:rPr>
          <w:rFonts w:ascii="Book Antiqua" w:hAnsi="Book Antiqua" w:cs="Arial"/>
          <w:sz w:val="24"/>
          <w:szCs w:val="24"/>
        </w:rPr>
      </w:pPr>
      <w:r>
        <w:rPr>
          <w:rFonts w:cs="Arial" w:ascii="Book Antiqua" w:hAnsi="Book Antiqua"/>
          <w:sz w:val="24"/>
          <w:szCs w:val="24"/>
        </w:rPr>
        <w:t>Το άρθρο 35 του Ν. 344/1976 Περί ληξιαρχικών πράξεων (Α' 143), όπως ισχύει, αντικαθίσταται ως εξής:</w:t>
      </w:r>
    </w:p>
    <w:p>
      <w:pPr>
        <w:pStyle w:val="Normal"/>
        <w:tabs>
          <w:tab w:val="left" w:pos="1134" w:leader="none"/>
        </w:tabs>
        <w:spacing w:lineRule="auto" w:line="360"/>
        <w:ind w:left="2880" w:firstLine="720"/>
        <w:jc w:val="both"/>
        <w:rPr>
          <w:rFonts w:ascii="Book Antiqua" w:hAnsi="Book Antiqua"/>
          <w:sz w:val="24"/>
          <w:szCs w:val="24"/>
        </w:rPr>
      </w:pPr>
      <w:r>
        <w:rPr>
          <w:rFonts w:ascii="Book Antiqua" w:hAnsi="Book Antiqua"/>
          <w:sz w:val="24"/>
          <w:szCs w:val="24"/>
        </w:rPr>
        <w:t>«Άρθρο 35</w:t>
      </w:r>
    </w:p>
    <w:p>
      <w:pPr>
        <w:pStyle w:val="Normal"/>
        <w:tabs>
          <w:tab w:val="left" w:pos="1134" w:leader="none"/>
        </w:tabs>
        <w:spacing w:lineRule="auto" w:line="360"/>
        <w:ind w:left="720" w:firstLine="7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Ενταφιασμός ή αποτέφρωση προσώπου</w:t>
      </w:r>
    </w:p>
    <w:p>
      <w:pPr>
        <w:pStyle w:val="Normal"/>
        <w:tabs>
          <w:tab w:val="left" w:pos="1134" w:leader="none"/>
        </w:tabs>
        <w:spacing w:lineRule="auto" w:line="360"/>
        <w:ind w:left="1134" w:hanging="0"/>
        <w:jc w:val="both"/>
        <w:rPr>
          <w:rFonts w:ascii="Book Antiqua" w:hAnsi="Book Antiqua"/>
          <w:sz w:val="24"/>
          <w:szCs w:val="24"/>
        </w:rPr>
      </w:pPr>
      <w:r>
        <w:rPr>
          <w:rFonts w:ascii="Book Antiqua" w:hAnsi="Book Antiqua"/>
          <w:sz w:val="24"/>
          <w:szCs w:val="24"/>
        </w:rP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Το άρθρο 35Α του Ν. 344/1976 Περί ληξιαρχικών πράξεων (Α' 143), όπως ισχύει, αντικαθίσταται ως εξής:</w:t>
      </w:r>
    </w:p>
    <w:p>
      <w:pPr>
        <w:pStyle w:val="Normal"/>
        <w:spacing w:lineRule="auto" w:line="360"/>
        <w:ind w:left="1560" w:firstLine="720"/>
        <w:jc w:val="center"/>
        <w:rPr>
          <w:rFonts w:ascii="Book Antiqua" w:hAnsi="Book Antiqua"/>
          <w:sz w:val="24"/>
          <w:szCs w:val="24"/>
        </w:rPr>
      </w:pPr>
      <w:r>
        <w:rPr>
          <w:rFonts w:ascii="Book Antiqua" w:hAnsi="Book Antiqua"/>
          <w:sz w:val="24"/>
          <w:szCs w:val="24"/>
        </w:rPr>
        <w:t>«Άρθρο 35Α</w:t>
      </w:r>
    </w:p>
    <w:p>
      <w:pPr>
        <w:pStyle w:val="Normal"/>
        <w:spacing w:lineRule="auto" w:line="360"/>
        <w:ind w:left="1560" w:firstLine="720"/>
        <w:jc w:val="center"/>
        <w:rPr>
          <w:rFonts w:ascii="Book Antiqua" w:hAnsi="Book Antiqua"/>
          <w:sz w:val="24"/>
          <w:szCs w:val="24"/>
        </w:rPr>
      </w:pPr>
      <w:r>
        <w:rPr>
          <w:rFonts w:ascii="Book Antiqua" w:hAnsi="Book Antiqua"/>
          <w:sz w:val="24"/>
          <w:szCs w:val="24"/>
        </w:rPr>
        <w:t>Επιλογή τόπου ενταφιασμού ή αποτέφρωσης προσώπου</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Η επιλογή του τόπου ενταφιασμού ή αποτέφρωσης είναι δικαίωμα του προσώπου.</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την ταφή ή την καύση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Η παρ. α του άρθρου 48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Ληξίαρχος,  γιατρός,  ιατροδικαστής, μαία ή υπάλληλος κέντρου αποτέφρωσης νεκρών, οι οποίοι αρνούνται αδικαιολόγητα την εκπλήρωση των επιβαλλομένων με τον παρόντα νόμο σε αυτούς καθηκόντων ή από πρόθεση παραλείπουν την εκπλήρωση αυτών».</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Η παρ. γ του άρθρου 48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«γ) Όποιος κατά παράβαση του παρόντος νόμου διενεργεί ενταφιασμό ή αποτέφρωση χωρίς την προηγούμενη σύνταξη ληξιαρχικής πράξης θανάτου».</w:t>
      </w:r>
    </w:p>
    <w:p>
      <w:pPr>
        <w:pStyle w:val="ListParagraph"/>
        <w:numPr>
          <w:ilvl w:val="0"/>
          <w:numId w:val="153"/>
        </w:numPr>
        <w:spacing w:lineRule="auto" w:line="360"/>
        <w:ind w:left="1276" w:hanging="425"/>
        <w:jc w:val="both"/>
        <w:rPr>
          <w:rFonts w:ascii="Book Antiqua" w:hAnsi="Book Antiqua"/>
          <w:sz w:val="24"/>
          <w:szCs w:val="24"/>
        </w:rPr>
      </w:pPr>
      <w:r>
        <w:rPr>
          <w:rFonts w:ascii="Book Antiqua" w:hAnsi="Book Antiqua"/>
          <w:sz w:val="24"/>
          <w:szCs w:val="24"/>
        </w:rPr>
        <w:t>Η παρ. 3 του άρθρου 49 του Ν. 4277/2014 (ΦΕΚ Α' 156),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«Για την αποτέφρωση νεκρών δεν απαιτείται η έκδοση άδειας αποτέφρωσης από τους οικείους τους θανόντος, αλλά αρκεί η προσκόμιση της ληξιαρχικής πράξης θανάτου στο ΚΑΝ όπου θα αποτεφρωθεί ο νεκρός».</w:t>
      </w:r>
    </w:p>
    <w:p>
      <w:pPr>
        <w:pStyle w:val="Normal"/>
        <w:spacing w:lineRule="auto" w:line="360"/>
        <w:ind w:firstLine="72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Άρθρο 235</w:t>
      </w:r>
    </w:p>
    <w:p>
      <w:pPr>
        <w:pStyle w:val="Normal"/>
        <w:spacing w:lineRule="auto" w:line="360"/>
        <w:ind w:firstLine="720"/>
        <w:rPr>
          <w:rFonts w:ascii="Book Antiqua" w:hAnsi="Book Antiqua"/>
          <w:b/>
          <w:b/>
          <w:sz w:val="24"/>
          <w:szCs w:val="24"/>
        </w:rPr>
      </w:pPr>
      <w:r>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pPr>
        <w:pStyle w:val="Normal"/>
        <w:spacing w:lineRule="auto" w:line="360"/>
        <w:jc w:val="both"/>
        <w:rPr>
          <w:rFonts w:ascii="Book Antiqua" w:hAnsi="Book Antiqua"/>
          <w:sz w:val="24"/>
          <w:szCs w:val="24"/>
        </w:rPr>
      </w:pPr>
      <w:r>
        <w:rPr>
          <w:rFonts w:ascii="Book Antiqua" w:hAnsi="Book Antiqua"/>
          <w:sz w:val="24"/>
          <w:szCs w:val="24"/>
        </w:rPr>
        <w:t>Το εδ. β΄ της παρ. 1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(ΦΕΚ Β' 441), όπως ισχύει,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t xml:space="preserve">«Η εγκατάσταση και λειτουργία Κ.Α.Ο.Ν επιτρέπεται α) σε Οργανισμούς Τοπικής Αυτοδιοίκησης (ΟΤΑ) πρώτου βαθμού ή νομικά πρόσωπα δημοσίου δικαίου των ΟΤΑ και β) σε ιδιώτες, μετά από τη λήψη των αδειών της παρ.3 του άρθρου 19 του ν. 3982/2011». </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Άρθρο 236</w:t>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Τροποποίηση του άρθρου 6 του ν. 2196/1994</w:t>
      </w:r>
    </w:p>
    <w:p>
      <w:pPr>
        <w:pStyle w:val="Normal"/>
        <w:spacing w:lineRule="auto" w:line="360" w:before="0" w:after="0"/>
        <w:jc w:val="both"/>
        <w:rPr>
          <w:rFonts w:ascii="Book Antiqua" w:hAnsi="Book Antiqua" w:cs="Arial"/>
          <w:b/>
          <w:b/>
          <w:bCs/>
          <w:sz w:val="24"/>
          <w:szCs w:val="24"/>
        </w:rPr>
      </w:pPr>
      <w:r>
        <w:rPr>
          <w:rFonts w:cs="Arial" w:ascii="Book Antiqua" w:hAnsi="Book Antiqua"/>
          <w:b/>
          <w:bCs/>
          <w:sz w:val="24"/>
          <w:szCs w:val="24"/>
        </w:rPr>
      </w:r>
    </w:p>
    <w:p>
      <w:pPr>
        <w:pStyle w:val="Normal"/>
        <w:spacing w:lineRule="auto" w:line="360" w:before="0" w:after="0"/>
        <w:jc w:val="both"/>
        <w:rPr>
          <w:rFonts w:ascii="Book Antiqua" w:hAnsi="Book Antiqua" w:cs="Arial"/>
          <w:sz w:val="24"/>
          <w:szCs w:val="24"/>
        </w:rPr>
      </w:pPr>
      <w:r>
        <w:rPr>
          <w:rFonts w:cs="Arial" w:ascii="Book Antiqua" w:hAnsi="Book Antiqua"/>
          <w:sz w:val="24"/>
          <w:szCs w:val="24"/>
        </w:rPr>
        <w:t>Στο άρθρο 6 του ν. 2196/1994 (ΦΕΚ 41 Α΄), όπως ισχύει, προστίθεται παράγραφος 6  ως εξής:</w:t>
      </w:r>
    </w:p>
    <w:p>
      <w:pPr>
        <w:pStyle w:val="Normal"/>
        <w:spacing w:lineRule="auto" w:line="360" w:before="0" w:after="0"/>
        <w:jc w:val="both"/>
        <w:rPr>
          <w:rFonts w:ascii="Book Antiqua" w:hAnsi="Book Antiqua" w:cs="Arial"/>
          <w:sz w:val="24"/>
          <w:szCs w:val="24"/>
        </w:rPr>
      </w:pPr>
      <w:r>
        <w:rPr>
          <w:rFonts w:cs="Arial" w:ascii="Book Antiqua" w:hAnsi="Book Antiqua"/>
          <w:sz w:val="24"/>
          <w:szCs w:val="24"/>
        </w:rPr>
        <w:t>«Για τους Έλληνες εκλογείς που προτίθενται να ασκήσουν το δικαίωμα του εκλέγεσθαι στο κράτος - μέλος κατοικίας τους, η Διεύθυνση Εκλογών διαβιβάζει στο σημείο επαφής την πληροφορία περί στέρησης του εν λόγω δικαιώματος, με βάση τα τηρούμενα σε αυτήν αρχεία. Η ανωτέρω πληροφορία διαβιβάζεται με οποιονδήποτε ενδεδειγμένο τρόπο εντός προθεσμίας πέντε (5) εργάσιμων ημερών</w:t>
      </w:r>
      <w:r>
        <w:rPr>
          <w:rFonts w:ascii="Book Antiqua" w:hAnsi="Book Antiqua"/>
          <w:sz w:val="24"/>
          <w:szCs w:val="24"/>
        </w:rPr>
        <w:t xml:space="preserve"> </w:t>
      </w:r>
      <w:r>
        <w:rPr>
          <w:rFonts w:cs="Arial" w:ascii="Book Antiqua" w:hAnsi="Book Antiqua"/>
          <w:sz w:val="24"/>
          <w:szCs w:val="24"/>
        </w:rPr>
        <w:t>από την παραλαβή της κοινοποίησής της ή εντός συντομότερου χρονικού διαστήματος, εφόσον το ζητήσει το κράτος μέλος - κατοικίας. Σε αυτήν περιέχονται μόνον τα απολύτως αναγκαία στοιχεία και χρησιμοποιούνται αποκλειστικά για το σκοπό αυτό».</w:t>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Έναρξη ισχύος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Η ισχύς του παρόντος νόμου αρχίζει από τη δημοσίευσή του στην Εφημερίδα της Κυβερνήσεως, εκτός αν προβλέπεται διαφορετικά στις επιμέρους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r>
    </w:p>
    <w:p>
      <w:pPr>
        <w:pStyle w:val="Normal"/>
        <w:spacing w:lineRule="auto" w:line="360"/>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rPr>
          <w:rFonts w:ascii="Book Antiqua" w:hAnsi="Book Antiqua"/>
          <w:sz w:val="24"/>
          <w:szCs w:val="24"/>
        </w:rPr>
      </w:pPr>
      <w:r>
        <w:rPr>
          <w:rFonts w:ascii="Book Antiqua" w:hAnsi="Book Antiqua"/>
          <w:sz w:val="24"/>
          <w:szCs w:val="24"/>
        </w:rPr>
      </w:r>
    </w:p>
    <w:p>
      <w:pPr>
        <w:pStyle w:val="Normal"/>
        <w:pBdr/>
        <w:spacing w:lineRule="auto" w:line="360" w:before="0" w:after="0"/>
        <w:jc w:val="center"/>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Book Antiqua">
    <w:charset w:val="01"/>
    <w:family w:val="roman"/>
    <w:pitch w:val="variable"/>
  </w:font>
  <w:font w:name="Tahoma">
    <w:charset w:val="01"/>
    <w:family w:val="roman"/>
    <w:pitch w:val="variable"/>
  </w:font>
  <w:font w:name="Consolas">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Book Antiqu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tabs>
        <w:tab w:val="center" w:pos="4153" w:leader="none"/>
        <w:tab w:val="right" w:pos="8306" w:leader="none"/>
      </w:tabs>
      <w:spacing w:before="0" w:after="200"/>
      <w:rPr/>
    </w:pPr>
    <w:r>
      <w:rPr/>
    </w:r>
    <w:r>
      <mc:AlternateContent>
        <mc:Choice Requires="wps">
          <w:drawing>
            <wp:anchor behindDoc="0" distT="0" distB="0" distL="0" distR="0" simplePos="0" locked="0" layoutInCell="1" allowOverlap="1" relativeHeight="342">
              <wp:simplePos x="0" y="0"/>
              <wp:positionH relativeFrom="margin">
                <wp:align>center</wp:align>
              </wp:positionH>
              <wp:positionV relativeFrom="paragraph">
                <wp:posOffset>635</wp:posOffset>
              </wp:positionV>
              <wp:extent cx="267335" cy="162560"/>
              <wp:effectExtent l="0" t="0" r="0" b="0"/>
              <wp:wrapSquare wrapText="largest"/>
              <wp:docPr id="1" name="Πλαίσιο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18"/>
                            <w:pBdr/>
                            <w:spacing w:before="0" w:after="200"/>
                            <w:rPr/>
                          </w:pPr>
                          <w:r>
                            <w:rPr>
                              <w:rStyle w:val="Pagenumber"/>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197.15pt;mso-position-horizontal:center;mso-position-horizontal-relative:margin">
              <v:fill opacity="0f"/>
              <v:textbox inset="0in,0in,0in,0in">
                <w:txbxContent>
                  <w:p>
                    <w:pPr>
                      <w:pStyle w:val="Style18"/>
                      <w:pBdr/>
                      <w:spacing w:before="0" w:after="200"/>
                      <w:rPr/>
                    </w:pPr>
                    <w:r>
                      <w:rPr>
                        <w:rStyle w:val="Pagenumber"/>
                      </w:rPr>
                      <w:fldChar w:fldCharType="begin"/>
                    </w:r>
                    <w:r>
                      <w:instrText> PAGE </w:instrText>
                    </w:r>
                    <w:r>
                      <w:fldChar w:fldCharType="separate"/>
                    </w:r>
                    <w:r>
                      <w:t>1</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 Antiqua" w:hAnsi="Book Antiqua" w:cs="Book Antiqua" w:hint="default"/>
        <w:sz w:val="24"/>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20" w:hanging="360"/>
      </w:pPr>
      <w:rPr>
        <w:sz w:val="24"/>
        <w:b/>
        <w:rFonts w:ascii="Book Antiqua" w:hAnsi="Book Antiqua"/>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lvl w:ilvl="0">
      <w:start w:val="1"/>
      <w:numFmt w:val="decimal"/>
      <w:lvlText w:val="%1."/>
      <w:lvlJc w:val="left"/>
      <w:pPr>
        <w:ind w:left="4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69" w:hanging="360"/>
      </w:pPr>
      <w:rPr>
        <w:sz w:val="24"/>
        <w:b/>
        <w:rFonts w:ascii="Book Antiqua" w:hAnsi="Book Antiqu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decimal"/>
      <w:lvlText w:val="%1."/>
      <w:lvlJc w:val="left"/>
      <w:pPr>
        <w:ind w:left="720" w:hanging="360"/>
      </w:pPr>
      <w:rPr>
        <w:sz w:val="24"/>
        <w:b/>
        <w:rFonts w:ascii="Book Antiqua" w:hAnsi="Book Antiqua"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lvl w:ilvl="0">
      <w:start w:val="1"/>
      <w:numFmt w:val="decimal"/>
      <w:lvlText w:val="%1."/>
      <w:lvlJc w:val="left"/>
      <w:pPr>
        <w:ind w:left="720" w:hanging="360"/>
      </w:pPr>
      <w:rPr>
        <w:b/>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1"/>
      <w:numFmt w:val="decimal"/>
      <w:lvlText w:val="%1."/>
      <w:lvlJc w:val="left"/>
      <w:pPr>
        <w:tabs>
          <w:tab w:val="num" w:pos="1440"/>
        </w:tabs>
        <w:ind w:left="1440" w:hanging="360"/>
      </w:pPr>
      <w:rPr>
        <w:sz w:val="24"/>
        <w:i w:val="false"/>
        <w:b/>
        <w:rFonts w:ascii="Book Antiqua" w:hAnsi="Book Antiqu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1080"/>
        </w:tabs>
        <w:ind w:left="1080" w:hanging="360"/>
      </w:pPr>
      <w:rPr>
        <w:sz w:val="24"/>
        <w:i w:val="false"/>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lvl w:ilvl="0">
      <w:start w:val="1"/>
      <w:numFmt w:val="decimal"/>
      <w:lvlText w:val="%1."/>
      <w:lvlJc w:val="left"/>
      <w:pPr>
        <w:tabs>
          <w:tab w:val="num" w:pos="1140"/>
        </w:tabs>
        <w:ind w:left="1140" w:hanging="360"/>
      </w:pPr>
      <w:rPr>
        <w:sz w:val="24"/>
        <w:i w:val="false"/>
        <w:b/>
        <w:rFonts w:ascii="Book Antiqua" w:hAnsi="Book Antiqua" w:cs="Times New Roman"/>
        <w:color w:val="00000A"/>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b/>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6">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lvl w:ilvl="0">
      <w:start w:val="1"/>
      <w:numFmt w:val="decimal"/>
      <w:lvlText w:val="%1."/>
      <w:lvlJc w:val="left"/>
      <w:pPr>
        <w:tabs>
          <w:tab w:val="num" w:pos="750"/>
        </w:tabs>
        <w:ind w:left="750" w:hanging="39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lvl w:ilvl="0">
      <w:start w:val="1"/>
      <w:numFmt w:val="decimal"/>
      <w:lvlText w:val="%1."/>
      <w:lvlJc w:val="left"/>
      <w:pPr>
        <w:ind w:left="1440" w:hanging="360"/>
      </w:pPr>
      <w:rPr>
        <w:sz w:val="24"/>
        <w:b/>
        <w:rFonts w:ascii="Book Antiqua" w:hAnsi="Book Antiqu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4">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lvl w:ilvl="0">
      <w:start w:val="1"/>
      <w:numFmt w:val="decimal"/>
      <w:lvlText w:val="%1."/>
      <w:lvlJc w:val="left"/>
      <w:pPr>
        <w:ind w:left="1440" w:hanging="360"/>
      </w:pPr>
      <w:rPr>
        <w:sz w:val="24"/>
        <w:b/>
        <w:rFonts w:ascii="Book Antiqua" w:hAnsi="Book Antiqu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lvl w:ilvl="0">
      <w:start w:val="1"/>
      <w:numFmt w:val="decimal"/>
      <w:lvlText w:val="%1."/>
      <w:lvlJc w:val="left"/>
      <w:pPr>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lvl w:ilvl="0">
      <w:start w:val="1"/>
      <w:numFmt w:val="decimal"/>
      <w:lvlText w:val="%1."/>
      <w:lvlJc w:val="left"/>
      <w:pPr>
        <w:tabs>
          <w:tab w:val="num" w:pos="720"/>
        </w:tabs>
        <w:ind w:left="720" w:hanging="360"/>
      </w:pPr>
      <w:rPr>
        <w:sz w:val="24"/>
        <w:b/>
        <w:rFonts w:ascii="Book Antiqua" w:hAnsi="Book Antiqua" w:eastAsia="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lvl w:ilvl="0">
      <w:start w:val="1"/>
      <w:numFmt w:val="decimal"/>
      <w:lvlText w:val="%1."/>
      <w:lvlJc w:val="left"/>
      <w:pPr>
        <w:tabs>
          <w:tab w:val="num" w:pos="720"/>
        </w:tabs>
        <w:ind w:left="720" w:hanging="360"/>
      </w:pPr>
      <w:rPr>
        <w:sz w:val="24"/>
        <w:b/>
        <w:rFonts w:ascii="Book Antiqua" w:hAnsi="Book Antiqua" w:eastAsia="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lvl w:ilvl="0">
      <w:start w:val="1"/>
      <w:numFmt w:val="decimal"/>
      <w:lvlText w:val="%1."/>
      <w:lvlJc w:val="left"/>
      <w:pPr>
        <w:ind w:left="1080" w:hanging="360"/>
      </w:pPr>
      <w:rPr>
        <w:sz w:val="24"/>
        <w:b/>
        <w:rFonts w:ascii="Book Antiqua" w:hAnsi="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lvl w:ilvl="0">
      <w:start w:val="1"/>
      <w:numFmt w:val="decimal"/>
      <w:lvlText w:val="%1."/>
      <w:lvlJc w:val="left"/>
      <w:pPr>
        <w:ind w:left="1080" w:hanging="360"/>
      </w:pPr>
      <w:rPr>
        <w:sz w:val="24"/>
        <w:b/>
        <w:szCs w:val="24"/>
        <w:rFonts w:ascii="Book Antiqua" w:hAnsi="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lvl w:ilvl="0">
      <w:start w:val="1"/>
      <w:numFmt w:val="decimal"/>
      <w:lvlText w:val="%1."/>
      <w:lvlJc w:val="left"/>
      <w:pPr>
        <w:ind w:left="36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lvl w:ilvl="0">
      <w:start w:val="1"/>
      <w:numFmt w:val="decimal"/>
      <w:lvlText w:val="%1."/>
      <w:lvlJc w:val="left"/>
      <w:pPr>
        <w:ind w:left="36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lvl w:ilvl="0">
      <w:start w:val="1"/>
      <w:numFmt w:val="decimal"/>
      <w:lvlText w:val="%1."/>
      <w:lvlJc w:val="left"/>
      <w:pPr>
        <w:ind w:left="720" w:hanging="360"/>
      </w:pPr>
      <w:rPr>
        <w:sz w:val="24"/>
        <w:b/>
        <w:rFonts w:ascii="Book Antiqua" w:hAnsi="Book Antiqua"/>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b/>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lvl w:ilvl="0">
      <w:start w:val="1"/>
      <w:numFmt w:val="decimal"/>
      <w:lvlText w:val="%1."/>
      <w:lvlJc w:val="left"/>
      <w:pPr>
        <w:ind w:left="1380" w:hanging="600"/>
      </w:pPr>
      <w:rPr>
        <w:sz w:val="24"/>
        <w:b/>
        <w:rFonts w:ascii="Book Antiqua" w:hAnsi="Book Antiqua"/>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lvl w:ilvl="0">
      <w:start w:val="1"/>
      <w:numFmt w:val="decimal"/>
      <w:lvlText w:val="%1."/>
      <w:lvlJc w:val="left"/>
      <w:pPr>
        <w:ind w:left="786" w:hanging="360"/>
      </w:pPr>
      <w:rPr>
        <w:sz w:val="24"/>
        <w:b/>
        <w:rFonts w:ascii="Book Antiqua" w:hAnsi="Book Antiqu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lvl w:ilvl="0">
      <w:start w:val="1"/>
      <w:numFmt w:val="decimal"/>
      <w:lvlText w:val="%1."/>
      <w:lvlJc w:val="left"/>
      <w:pPr>
        <w:ind w:left="825" w:hanging="465"/>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lvl w:ilvl="0">
      <w:start w:val="1"/>
      <w:numFmt w:val="decimal"/>
      <w:lvlText w:val="%1."/>
      <w:lvlJc w:val="left"/>
      <w:pPr>
        <w:ind w:left="720" w:hanging="360"/>
      </w:pPr>
      <w:rPr>
        <w:sz w:val="24"/>
        <w:i w:val="false"/>
        <w:b/>
        <w:rFonts w:ascii="Book Antiqua" w:hAnsi="Book Antiqu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lvl w:ilvl="0">
      <w:start w:val="1"/>
      <w:numFmt w:val="decimal"/>
      <w:lvlText w:val="%1."/>
      <w:lvlJc w:val="left"/>
      <w:pPr>
        <w:ind w:left="720" w:hanging="360"/>
      </w:pPr>
      <w:rPr>
        <w:sz w:val="24"/>
        <w:b/>
        <w:rFonts w:ascii="Book Antiqua" w:hAnsi="Book Antiqu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lvl w:ilvl="0">
      <w:start w:val="1"/>
      <w:numFmt w:val="decimal"/>
      <w:lvlText w:val="%1."/>
      <w:lvlJc w:val="left"/>
      <w:pPr>
        <w:ind w:left="735" w:hanging="375"/>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bering>
</file>

<file path=word/settings.xml><?xml version="1.0" encoding="utf-8"?>
<w:settings xmlns:w="http://schemas.openxmlformats.org/wordprocessingml/2006/main">
  <w:zoom w:percent="15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16404"/>
    <w:pPr>
      <w:widowControl/>
      <w:bidi w:val="0"/>
      <w:spacing w:lineRule="auto" w:line="276" w:before="0" w:after="200"/>
      <w:jc w:val="left"/>
    </w:pPr>
    <w:rPr>
      <w:rFonts w:ascii="Calibri" w:hAnsi="Calibri" w:eastAsia="Calibri" w:cs="Times New Roman"/>
      <w:color w:val="auto"/>
      <w:sz w:val="22"/>
      <w:szCs w:val="22"/>
      <w:lang w:eastAsia="en-US" w:val="el-GR" w:bidi="ar-SA"/>
    </w:rPr>
  </w:style>
  <w:style w:type="paragraph" w:styleId="1">
    <w:name w:val="Heading 1"/>
    <w:basedOn w:val="Normal"/>
    <w:link w:val="1Char"/>
    <w:uiPriority w:val="99"/>
    <w:qFormat/>
    <w:rsid w:val="002e1fce"/>
    <w:pPr>
      <w:keepNext/>
      <w:spacing w:before="240" w:after="60"/>
      <w:outlineLvl w:val="0"/>
    </w:pPr>
    <w:rPr>
      <w:rFonts w:ascii="Cambria" w:hAnsi="Cambria" w:eastAsia="Times New Roman"/>
      <w:b/>
      <w:bCs/>
      <w:sz w:val="32"/>
      <w:szCs w:val="32"/>
    </w:rPr>
  </w:style>
  <w:style w:type="paragraph" w:styleId="2">
    <w:name w:val="Heading 2"/>
    <w:basedOn w:val="Normal"/>
    <w:link w:val="2Char"/>
    <w:semiHidden/>
    <w:unhideWhenUsed/>
    <w:qFormat/>
    <w:rsid w:val="00df6fa2"/>
    <w:pPr>
      <w:keepNext/>
      <w:spacing w:lineRule="auto" w:line="240" w:before="240" w:after="60"/>
      <w:outlineLvl w:val="1"/>
    </w:pPr>
    <w:rPr>
      <w:rFonts w:ascii="Cambria" w:hAnsi="Cambria" w:eastAsia="Times New Roman"/>
      <w:b/>
      <w:bCs/>
      <w:i/>
      <w:iCs/>
      <w:sz w:val="28"/>
      <w:szCs w:val="28"/>
      <w:lang w:val="en-GB" w:eastAsia="el-GR"/>
    </w:rPr>
  </w:style>
  <w:style w:type="paragraph" w:styleId="3">
    <w:name w:val="Heading 3"/>
    <w:basedOn w:val="Normal"/>
    <w:link w:val="3Char"/>
    <w:qFormat/>
    <w:rsid w:val="00c16404"/>
    <w:pPr>
      <w:keepNext/>
      <w:keepLines/>
      <w:spacing w:before="200" w:after="0"/>
      <w:outlineLvl w:val="2"/>
    </w:pPr>
    <w:rPr>
      <w:rFonts w:ascii="Cambria" w:hAnsi="Cambria" w:eastAsia="Times New Roman"/>
      <w:b/>
      <w:bCs/>
      <w:color w:val="4F81BD"/>
    </w:rPr>
  </w:style>
  <w:style w:type="character" w:styleId="DefaultParagraphFont" w:default="1">
    <w:name w:val="Default Paragraph Font"/>
    <w:uiPriority w:val="1"/>
    <w:semiHidden/>
    <w:unhideWhenUsed/>
    <w:qFormat/>
    <w:rPr/>
  </w:style>
  <w:style w:type="character" w:styleId="3Char" w:customStyle="1">
    <w:name w:val="Επικεφαλίδα 3 Char"/>
    <w:link w:val="3"/>
    <w:semiHidden/>
    <w:qFormat/>
    <w:rsid w:val="00c16404"/>
    <w:rPr>
      <w:rFonts w:ascii="Cambria" w:hAnsi="Cambria"/>
      <w:b/>
      <w:bCs/>
      <w:color w:val="4F81BD"/>
      <w:sz w:val="22"/>
      <w:szCs w:val="22"/>
      <w:lang w:val="el-GR" w:eastAsia="en-US" w:bidi="ar-SA"/>
    </w:rPr>
  </w:style>
  <w:style w:type="character" w:styleId="311ptChar" w:customStyle="1">
    <w:name w:val="Στυλ Επικεφαλίδα 3 + 11 pt Όχι Έντονα Char"/>
    <w:link w:val="311pt"/>
    <w:qFormat/>
    <w:locked/>
    <w:rsid w:val="008a10a9"/>
    <w:rPr>
      <w:rFonts w:ascii="Book Antiqua" w:hAnsi="Book Antiqua" w:eastAsia="Calibri"/>
      <w:sz w:val="24"/>
      <w:szCs w:val="24"/>
    </w:rPr>
  </w:style>
  <w:style w:type="character" w:styleId="Char" w:customStyle="1">
    <w:name w:val="Κείμενο σχολίου Char"/>
    <w:link w:val="a4"/>
    <w:uiPriority w:val="99"/>
    <w:semiHidden/>
    <w:qFormat/>
    <w:rsid w:val="00c16404"/>
    <w:rPr>
      <w:rFonts w:ascii="Calibri" w:hAnsi="Calibri"/>
      <w:lang w:val="el-GR" w:eastAsia="el-GR" w:bidi="ar-SA"/>
    </w:rPr>
  </w:style>
  <w:style w:type="character" w:styleId="Annotationreference">
    <w:name w:val="annotation reference"/>
    <w:uiPriority w:val="99"/>
    <w:semiHidden/>
    <w:unhideWhenUsed/>
    <w:qFormat/>
    <w:rsid w:val="00c16404"/>
    <w:rPr>
      <w:sz w:val="16"/>
      <w:szCs w:val="16"/>
    </w:rPr>
  </w:style>
  <w:style w:type="character" w:styleId="Char1" w:customStyle="1">
    <w:name w:val="Κείμενο πλαισίου Char"/>
    <w:link w:val="a6"/>
    <w:uiPriority w:val="99"/>
    <w:semiHidden/>
    <w:qFormat/>
    <w:rsid w:val="00c16404"/>
    <w:rPr>
      <w:rFonts w:ascii="Tahoma" w:hAnsi="Tahoma" w:eastAsia="Calibri" w:cs="Tahoma"/>
      <w:sz w:val="16"/>
      <w:szCs w:val="16"/>
      <w:lang w:val="el-GR" w:eastAsia="en-US" w:bidi="ar-SA"/>
    </w:rPr>
  </w:style>
  <w:style w:type="character" w:styleId="Char2" w:customStyle="1">
    <w:name w:val="Θέμα σχολίου Char"/>
    <w:link w:val="a7"/>
    <w:uiPriority w:val="99"/>
    <w:semiHidden/>
    <w:qFormat/>
    <w:rsid w:val="00c16404"/>
    <w:rPr>
      <w:rFonts w:ascii="Calibri" w:hAnsi="Calibri" w:eastAsia="Calibri"/>
      <w:b/>
      <w:bCs/>
      <w:lang w:val="el-GR" w:eastAsia="en-US" w:bidi="ar-SA"/>
    </w:rPr>
  </w:style>
  <w:style w:type="character" w:styleId="HTMLChar" w:customStyle="1">
    <w:name w:val="Προ-διαμορφωμένο HTML Char"/>
    <w:link w:val="-HTML"/>
    <w:uiPriority w:val="99"/>
    <w:qFormat/>
    <w:rsid w:val="00c16404"/>
    <w:rPr>
      <w:rFonts w:ascii="Consolas" w:hAnsi="Consolas" w:eastAsia="Calibri"/>
      <w:lang w:val="el-GR" w:eastAsia="en-US" w:bidi="ar-SA"/>
    </w:rPr>
  </w:style>
  <w:style w:type="character" w:styleId="HTMLPreformattedChar" w:customStyle="1">
    <w:name w:val="HTML Preformatted Char"/>
    <w:qFormat/>
    <w:locked/>
    <w:rsid w:val="00c16404"/>
    <w:rPr>
      <w:rFonts w:ascii="Courier New" w:hAnsi="Courier New"/>
      <w:lang w:val="el-GR" w:eastAsia="el-GR"/>
    </w:rPr>
  </w:style>
  <w:style w:type="character" w:styleId="311pt1Char" w:customStyle="1">
    <w:name w:val="Στυλ Στυλ Επικεφαλίδα 3 + 11 pt Όχι Έντονα + Μαύρο1 Char"/>
    <w:link w:val="311pt1"/>
    <w:qFormat/>
    <w:locked/>
    <w:rsid w:val="00e2120a"/>
    <w:rPr>
      <w:rFonts w:ascii="Book Antiqua" w:hAnsi="Book Antiqua"/>
      <w:b/>
      <w:sz w:val="24"/>
      <w:szCs w:val="24"/>
    </w:rPr>
  </w:style>
  <w:style w:type="character" w:styleId="311ptChar1" w:customStyle="1">
    <w:name w:val="Στυλ Στυλ Επικεφαλίδα 3 + 11 pt Όχι Έντονα + Μαύρο Char"/>
    <w:link w:val="311pt0"/>
    <w:qFormat/>
    <w:locked/>
    <w:rsid w:val="00c16404"/>
    <w:rPr>
      <w:rFonts w:ascii="Arial" w:hAnsi="Arial"/>
      <w:lang w:val="el-GR" w:eastAsia="el-GR" w:bidi="ar-SA"/>
    </w:rPr>
  </w:style>
  <w:style w:type="character" w:styleId="Pagenumber">
    <w:name w:val="page number"/>
    <w:basedOn w:val="DefaultParagraphFont"/>
    <w:qFormat/>
    <w:rsid w:val="002067a6"/>
    <w:rPr/>
  </w:style>
  <w:style w:type="character" w:styleId="1Char" w:customStyle="1">
    <w:name w:val="Επικεφαλίδα 1 Char"/>
    <w:link w:val="1"/>
    <w:uiPriority w:val="99"/>
    <w:qFormat/>
    <w:rsid w:val="002e1fce"/>
    <w:rPr>
      <w:rFonts w:ascii="Cambria" w:hAnsi="Cambria" w:eastAsia="Times New Roman" w:cs="Times New Roman"/>
      <w:b/>
      <w:bCs/>
      <w:sz w:val="32"/>
      <w:szCs w:val="32"/>
      <w:lang w:eastAsia="en-US"/>
    </w:rPr>
  </w:style>
  <w:style w:type="character" w:styleId="Fontstyle69" w:customStyle="1">
    <w:name w:val="fontstyle69"/>
    <w:uiPriority w:val="99"/>
    <w:qFormat/>
    <w:rsid w:val="00560a30"/>
    <w:rPr/>
  </w:style>
  <w:style w:type="character" w:styleId="Char3" w:customStyle="1">
    <w:name w:val="Κείμενο υποσημείωσης Char"/>
    <w:link w:val="ab"/>
    <w:uiPriority w:val="99"/>
    <w:qFormat/>
    <w:rsid w:val="00560a30"/>
    <w:rPr>
      <w:rFonts w:eastAsia="Calibri"/>
      <w:lang w:val="en-GB"/>
    </w:rPr>
  </w:style>
  <w:style w:type="character" w:styleId="Footnotereference">
    <w:name w:val="footnote reference"/>
    <w:uiPriority w:val="99"/>
    <w:qFormat/>
    <w:rsid w:val="00560a30"/>
    <w:rPr>
      <w:vertAlign w:val="superscript"/>
    </w:rPr>
  </w:style>
  <w:style w:type="character" w:styleId="Char4" w:customStyle="1">
    <w:name w:val="Κεφαλίδα Char"/>
    <w:link w:val="ad"/>
    <w:uiPriority w:val="99"/>
    <w:qFormat/>
    <w:rsid w:val="00560a30"/>
    <w:rPr>
      <w:rFonts w:eastAsia="Calibri"/>
      <w:sz w:val="24"/>
      <w:szCs w:val="24"/>
      <w:lang w:val="en-GB"/>
    </w:rPr>
  </w:style>
  <w:style w:type="character" w:styleId="Char5" w:customStyle="1">
    <w:name w:val="Υποσέλιδο Char"/>
    <w:link w:val="a8"/>
    <w:uiPriority w:val="99"/>
    <w:qFormat/>
    <w:locked/>
    <w:rsid w:val="00560a30"/>
    <w:rPr>
      <w:rFonts w:ascii="Calibri" w:hAnsi="Calibri" w:eastAsia="Calibri"/>
      <w:sz w:val="22"/>
      <w:szCs w:val="22"/>
      <w:lang w:eastAsia="en-US"/>
    </w:rPr>
  </w:style>
  <w:style w:type="character" w:styleId="Style11">
    <w:name w:val="Σύνδεσμος διαδικτύου"/>
    <w:uiPriority w:val="99"/>
    <w:unhideWhenUsed/>
    <w:rsid w:val="00560a30"/>
    <w:rPr>
      <w:color w:val="0000FF"/>
      <w:u w:val="single"/>
    </w:rPr>
  </w:style>
  <w:style w:type="character" w:styleId="CommentTextChar" w:customStyle="1">
    <w:name w:val="Comment Text Char"/>
    <w:semiHidden/>
    <w:qFormat/>
    <w:locked/>
    <w:rsid w:val="00560a30"/>
    <w:rPr>
      <w:rFonts w:ascii="Times New Roman" w:hAnsi="Times New Roman" w:cs="Times New Roman"/>
      <w:sz w:val="20"/>
      <w:szCs w:val="20"/>
      <w:lang w:val="en-GB" w:eastAsia="el-GR"/>
    </w:rPr>
  </w:style>
  <w:style w:type="character" w:styleId="Appleconvertedspace" w:customStyle="1">
    <w:name w:val="apple-converted-space"/>
    <w:qFormat/>
    <w:rsid w:val="00560a30"/>
    <w:rPr/>
  </w:style>
  <w:style w:type="character" w:styleId="Style12">
    <w:name w:val="Έμφαση"/>
    <w:uiPriority w:val="99"/>
    <w:qFormat/>
    <w:rsid w:val="00560a30"/>
    <w:rPr>
      <w:i/>
      <w:iCs/>
    </w:rPr>
  </w:style>
  <w:style w:type="character" w:styleId="2Char" w:customStyle="1">
    <w:name w:val="Επικεφαλίδα 2 Char"/>
    <w:basedOn w:val="DefaultParagraphFont"/>
    <w:link w:val="2"/>
    <w:semiHidden/>
    <w:qFormat/>
    <w:rsid w:val="00df6fa2"/>
    <w:rPr>
      <w:rFonts w:ascii="Cambria" w:hAnsi="Cambria"/>
      <w:b/>
      <w:bCs/>
      <w:i/>
      <w:iCs/>
      <w:sz w:val="28"/>
      <w:szCs w:val="28"/>
      <w:lang w:val="en-GB"/>
    </w:rPr>
  </w:style>
  <w:style w:type="character" w:styleId="ListLabel1">
    <w:name w:val="ListLabel 1"/>
    <w:qFormat/>
    <w:rPr>
      <w:rFonts w:ascii="Book Antiqua" w:hAnsi="Book Antiqua" w:eastAsia="Calibri" w:cs="Arial"/>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Book Antiqua" w:hAnsi="Book Antiqua"/>
      <w:b/>
      <w:sz w:val="24"/>
    </w:rPr>
  </w:style>
  <w:style w:type="character" w:styleId="ListLabel6">
    <w:name w:val="ListLabel 6"/>
    <w:qFormat/>
    <w:rPr>
      <w:rFonts w:ascii="Book Antiqua" w:hAnsi="Book Antiqua"/>
      <w:b/>
      <w:sz w:val="24"/>
    </w:rPr>
  </w:style>
  <w:style w:type="character" w:styleId="ListLabel7">
    <w:name w:val="ListLabel 7"/>
    <w:qFormat/>
    <w:rPr>
      <w:rFonts w:ascii="Book Antiqua" w:hAnsi="Book Antiqua"/>
      <w:b/>
      <w:sz w:val="24"/>
    </w:rPr>
  </w:style>
  <w:style w:type="character" w:styleId="ListLabel8">
    <w:name w:val="ListLabel 8"/>
    <w:qFormat/>
    <w:rPr>
      <w:rFonts w:ascii="Book Antiqua" w:hAnsi="Book Antiqua"/>
      <w:b/>
      <w:sz w:val="24"/>
    </w:rPr>
  </w:style>
  <w:style w:type="character" w:styleId="ListLabel9">
    <w:name w:val="ListLabel 9"/>
    <w:qFormat/>
    <w:rPr>
      <w:rFonts w:ascii="Book Antiqua" w:hAnsi="Book Antiqua"/>
      <w:b/>
      <w:sz w:val="24"/>
    </w:rPr>
  </w:style>
  <w:style w:type="character" w:styleId="ListLabel10">
    <w:name w:val="ListLabel 10"/>
    <w:qFormat/>
    <w:rPr>
      <w:rFonts w:ascii="Book Antiqua" w:hAnsi="Book Antiqua"/>
      <w:b/>
      <w:sz w:val="24"/>
    </w:rPr>
  </w:style>
  <w:style w:type="character" w:styleId="ListLabel11">
    <w:name w:val="ListLabel 11"/>
    <w:qFormat/>
    <w:rPr>
      <w:rFonts w:ascii="Book Antiqua" w:hAnsi="Book Antiqua"/>
      <w:b/>
      <w:sz w:val="24"/>
    </w:rPr>
  </w:style>
  <w:style w:type="character" w:styleId="ListLabel12">
    <w:name w:val="ListLabel 12"/>
    <w:qFormat/>
    <w:rPr>
      <w:rFonts w:ascii="Book Antiqua" w:hAnsi="Book Antiqua"/>
      <w:b/>
      <w:sz w:val="24"/>
    </w:rPr>
  </w:style>
  <w:style w:type="character" w:styleId="ListLabel13">
    <w:name w:val="ListLabel 13"/>
    <w:qFormat/>
    <w:rPr>
      <w:rFonts w:ascii="Book Antiqua" w:hAnsi="Book Antiqua" w:cs="Times New Roman"/>
      <w:b/>
      <w:sz w:val="24"/>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ascii="Book Antiqua" w:hAnsi="Book Antiqua" w:cs="Times New Roman"/>
      <w:b/>
      <w:sz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Book Antiqua" w:hAnsi="Book Antiqua" w:cs="Times New Roman"/>
      <w:b/>
      <w:color w:val="000000"/>
      <w:sz w:val="24"/>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ascii="Book Antiqua" w:hAnsi="Book Antiqua" w:cs="Times New Roman"/>
      <w:b/>
      <w:sz w:val="24"/>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Book Antiqua" w:hAnsi="Book Antiqua" w:cs="Times New Roman"/>
      <w:b/>
      <w:sz w:val="24"/>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ascii="Book Antiqua" w:hAnsi="Book Antiqua" w:cs="Times New Roman"/>
      <w:b/>
      <w:sz w:val="24"/>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Book Antiqua" w:hAnsi="Book Antiqua" w:cs="Times New Roman"/>
      <w:b/>
      <w:sz w:val="24"/>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ascii="Book Antiqua" w:hAnsi="Book Antiqua" w:cs="Times New Roman"/>
      <w:b/>
      <w:sz w:val="24"/>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b/>
      <w:color w:val="00000A"/>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ascii="Book Antiqua" w:hAnsi="Book Antiqua" w:cs="Times New Roman"/>
      <w:b/>
      <w:sz w:val="24"/>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ascii="Book Antiqua" w:hAnsi="Book Antiqua" w:cs="Times New Roman"/>
      <w:b/>
      <w:sz w:val="24"/>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ascii="Book Antiqua" w:hAnsi="Book Antiqua" w:cs="Times New Roman"/>
      <w:b/>
      <w:sz w:val="24"/>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ascii="Book Antiqua" w:hAnsi="Book Antiqua" w:cs="Times New Roman"/>
      <w:b/>
      <w:sz w:val="24"/>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Book Antiqua" w:hAnsi="Book Antiqua" w:cs="Times New Roman"/>
      <w:b/>
      <w:sz w:val="24"/>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ascii="Book Antiqua" w:hAnsi="Book Antiqua" w:cs="Times New Roman"/>
      <w:b/>
      <w:sz w:val="24"/>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ascii="Book Antiqua" w:hAnsi="Book Antiqua"/>
      <w:b/>
      <w:i w:val="false"/>
      <w:sz w:val="24"/>
    </w:rPr>
  </w:style>
  <w:style w:type="character" w:styleId="ListLabel149">
    <w:name w:val="ListLabel 149"/>
    <w:qFormat/>
    <w:rPr>
      <w:rFonts w:ascii="Book Antiqua" w:hAnsi="Book Antiqua"/>
      <w:b/>
      <w:i w:val="false"/>
      <w:sz w:val="24"/>
    </w:rPr>
  </w:style>
  <w:style w:type="character" w:styleId="ListLabel150">
    <w:name w:val="ListLabel 150"/>
    <w:qFormat/>
    <w:rPr>
      <w:rFonts w:ascii="Book Antiqua" w:hAnsi="Book Antiqua" w:cs="Times New Roman"/>
      <w:b/>
      <w:sz w:val="24"/>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ascii="Book Antiqua" w:hAnsi="Book Antiqua"/>
      <w:b/>
      <w:i w:val="false"/>
      <w:sz w:val="24"/>
    </w:rPr>
  </w:style>
  <w:style w:type="character" w:styleId="ListLabel160">
    <w:name w:val="ListLabel 160"/>
    <w:qFormat/>
    <w:rPr>
      <w:rFonts w:ascii="Book Antiqua" w:hAnsi="Book Antiqua"/>
      <w:b/>
      <w:i w:val="false"/>
      <w:sz w:val="24"/>
    </w:rPr>
  </w:style>
  <w:style w:type="character" w:styleId="ListLabel161">
    <w:name w:val="ListLabel 161"/>
    <w:qFormat/>
    <w:rPr>
      <w:rFonts w:ascii="Book Antiqua" w:hAnsi="Book Antiqua"/>
      <w:b/>
      <w:i w:val="false"/>
      <w:sz w:val="24"/>
    </w:rPr>
  </w:style>
  <w:style w:type="character" w:styleId="ListLabel162">
    <w:name w:val="ListLabel 162"/>
    <w:qFormat/>
    <w:rPr>
      <w:rFonts w:ascii="Book Antiqua" w:hAnsi="Book Antiqua"/>
      <w:b/>
      <w:i w:val="false"/>
      <w:sz w:val="24"/>
    </w:rPr>
  </w:style>
  <w:style w:type="character" w:styleId="ListLabel163">
    <w:name w:val="ListLabel 163"/>
    <w:qFormat/>
    <w:rPr>
      <w:b/>
      <w:i w:val="false"/>
      <w:sz w:val="24"/>
    </w:rPr>
  </w:style>
  <w:style w:type="character" w:styleId="ListLabel164">
    <w:name w:val="ListLabel 164"/>
    <w:qFormat/>
    <w:rPr>
      <w:rFonts w:ascii="Book Antiqua" w:hAnsi="Book Antiqua" w:cs="Times New Roman"/>
      <w:b/>
      <w:sz w:val="24"/>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ascii="Book Antiqua" w:hAnsi="Book Antiqua" w:cs="Times New Roman"/>
      <w:b/>
      <w:i w:val="false"/>
      <w:color w:val="00000A"/>
      <w:sz w:val="24"/>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ascii="Book Antiqua" w:hAnsi="Book Antiqua" w:cs="Times New Roman"/>
      <w:b/>
      <w:i w:val="false"/>
      <w:sz w:val="24"/>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ascii="Book Antiqua" w:hAnsi="Book Antiqua" w:cs="Times New Roman"/>
      <w:b/>
      <w:i w:val="false"/>
      <w:sz w:val="24"/>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ascii="Book Antiqua" w:hAnsi="Book Antiqua" w:cs="Times New Roman"/>
      <w:b/>
      <w:i w:val="false"/>
      <w:sz w:val="24"/>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ascii="Book Antiqua" w:hAnsi="Book Antiqua" w:cs="Times New Roman"/>
      <w:b/>
      <w:i w:val="false"/>
      <w:sz w:val="24"/>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Book Antiqua" w:hAnsi="Book Antiqua" w:cs="Times New Roman"/>
      <w:b/>
      <w:sz w:val="24"/>
    </w:rPr>
  </w:style>
  <w:style w:type="character" w:styleId="ListLabel219">
    <w:name w:val="ListLabel 219"/>
    <w:qFormat/>
    <w:rPr>
      <w:b/>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ascii="Book Antiqua" w:hAnsi="Book Antiqua" w:cs="Times New Roman"/>
      <w:b/>
      <w:i w:val="false"/>
      <w:sz w:val="24"/>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ascii="Book Antiqua" w:hAnsi="Book Antiqua" w:cs="Times New Roman"/>
      <w:b/>
      <w:i w:val="false"/>
      <w:sz w:val="24"/>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ascii="Book Antiqua" w:hAnsi="Book Antiqua" w:cs="Times New Roman"/>
      <w:b/>
      <w:color w:val="00000A"/>
      <w:sz w:val="24"/>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ascii="Book Antiqua" w:hAnsi="Book Antiqua" w:cs="Times New Roman"/>
      <w:b/>
      <w:sz w:val="24"/>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ascii="Book Antiqua" w:hAnsi="Book Antiqua" w:cs="Times New Roman"/>
      <w:b/>
      <w:i w:val="false"/>
      <w:sz w:val="24"/>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ascii="Book Antiqua" w:hAnsi="Book Antiqua" w:cs="Times New Roman"/>
      <w:b/>
      <w:i w:val="false"/>
      <w:sz w:val="24"/>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ascii="Book Antiqua" w:hAnsi="Book Antiqua" w:cs="Times New Roman"/>
      <w:b/>
      <w:i w:val="false"/>
      <w:sz w:val="24"/>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ascii="Book Antiqua" w:hAnsi="Book Antiqua" w:cs="Times New Roman"/>
      <w:b/>
      <w:i w:val="false"/>
      <w:sz w:val="24"/>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ascii="Book Antiqua" w:hAnsi="Book Antiqua" w:cs="Times New Roman"/>
      <w:b/>
      <w:i w:val="false"/>
      <w:sz w:val="24"/>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Book Antiqua" w:hAnsi="Book Antiqua" w:cs="Times New Roman"/>
      <w:b/>
      <w:i w:val="false"/>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ascii="Book Antiqua" w:hAnsi="Book Antiqua" w:cs="Times New Roman"/>
      <w:b/>
      <w:i w:val="false"/>
      <w:sz w:val="24"/>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ascii="Book Antiqua" w:hAnsi="Book Antiqua" w:cs="Times New Roman"/>
      <w:b/>
      <w:i w:val="false"/>
      <w:sz w:val="24"/>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ascii="Book Antiqua" w:hAnsi="Book Antiqua" w:cs="Times New Roman"/>
      <w:b/>
      <w:i w:val="false"/>
      <w:sz w:val="24"/>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ascii="Book Antiqua" w:hAnsi="Book Antiqua" w:cs="Times New Roman"/>
      <w:b/>
      <w:i w:val="false"/>
      <w:sz w:val="24"/>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ascii="Book Antiqua" w:hAnsi="Book Antiqua" w:cs="Times New Roman"/>
      <w:b/>
      <w:i w:val="false"/>
      <w:sz w:val="24"/>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ascii="Book Antiqua" w:hAnsi="Book Antiqua" w:cs="Times New Roman"/>
      <w:b/>
      <w:sz w:val="24"/>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ascii="Book Antiqua" w:hAnsi="Book Antiqua" w:cs="Times New Roman"/>
      <w:b/>
      <w:sz w:val="24"/>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Book Antiqua" w:hAnsi="Book Antiqua"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ascii="Book Antiqua" w:hAnsi="Book Antiqua" w:cs="Times New Roman"/>
      <w:b/>
      <w:sz w:val="24"/>
    </w:rPr>
  </w:style>
  <w:style w:type="character" w:styleId="ListLabel390">
    <w:name w:val="ListLabel 390"/>
    <w:qFormat/>
    <w:rPr>
      <w:rFonts w:cs="Times New Roman"/>
      <w:b/>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ascii="Book Antiqua" w:hAnsi="Book Antiqua" w:cs="Times New Roman"/>
      <w:b/>
      <w:sz w:val="24"/>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ascii="Book Antiqua" w:hAnsi="Book Antiqua" w:cs="Times New Roman"/>
      <w:b/>
      <w:sz w:val="24"/>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ascii="Book Antiqua" w:hAnsi="Book Antiqua" w:cs="Times New Roman"/>
      <w:b/>
      <w:i w:val="false"/>
      <w:sz w:val="24"/>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ascii="Book Antiqua" w:hAnsi="Book Antiqua" w:cs="Times New Roman"/>
      <w:b/>
      <w:i w:val="false"/>
      <w:sz w:val="24"/>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ascii="Book Antiqua" w:hAnsi="Book Antiqua" w:cs="Times New Roman"/>
      <w:b/>
      <w:i w:val="false"/>
      <w:sz w:val="24"/>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ascii="Book Antiqua" w:hAnsi="Book Antiqua" w:cs="Times New Roman"/>
      <w:b/>
      <w:i w:val="false"/>
      <w:sz w:val="24"/>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ascii="Book Antiqua" w:hAnsi="Book Antiqua" w:cs="Times New Roman"/>
      <w:b/>
      <w:i w:val="false"/>
      <w:sz w:val="24"/>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ascii="Book Antiqua" w:hAnsi="Book Antiqua" w:cs="Times New Roman"/>
      <w:b/>
      <w:i w:val="false"/>
      <w:sz w:val="24"/>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ascii="Book Antiqua" w:hAnsi="Book Antiqua" w:cs="Times New Roman"/>
      <w:b/>
      <w:i w:val="false"/>
      <w:sz w:val="24"/>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ascii="Book Antiqua" w:hAnsi="Book Antiqua" w:cs="Times New Roman"/>
      <w:b/>
      <w:i w:val="false"/>
      <w:sz w:val="24"/>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ascii="Book Antiqua" w:hAnsi="Book Antiqua" w:cs="Times New Roman"/>
      <w:b/>
      <w:i w:val="false"/>
      <w:sz w:val="24"/>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ascii="Book Antiqua" w:hAnsi="Book Antiqua" w:cs="Times New Roman"/>
      <w:b/>
      <w:sz w:val="24"/>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ascii="Book Antiqua" w:hAnsi="Book Antiqua" w:cs="Times New Roman"/>
      <w:b/>
      <w:sz w:val="24"/>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ascii="Book Antiqua" w:hAnsi="Book Antiqua" w:cs="Times New Roman"/>
      <w:b/>
      <w:sz w:val="24"/>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ascii="Book Antiqua" w:hAnsi="Book Antiqua" w:cs="Times New Roman"/>
      <w:b/>
      <w:i w:val="false"/>
      <w:sz w:val="24"/>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ascii="Book Antiqua" w:hAnsi="Book Antiqua" w:cs="Times New Roman"/>
      <w:b/>
      <w:sz w:val="24"/>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ascii="Book Antiqua" w:hAnsi="Book Antiqua" w:cs="Times New Roman"/>
      <w:b/>
      <w:sz w:val="24"/>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ascii="Book Antiqua" w:hAnsi="Book Antiqua" w:cs="Times New Roman"/>
      <w:b/>
      <w:sz w:val="24"/>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ascii="Book Antiqua" w:hAnsi="Book Antiqua" w:cs="Times New Roman"/>
      <w:b/>
      <w:sz w:val="24"/>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ascii="Book Antiqua" w:hAnsi="Book Antiqua" w:cs="Times New Roman"/>
      <w:b/>
      <w:i w:val="false"/>
      <w:sz w:val="24"/>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ascii="Book Antiqua" w:hAnsi="Book Antiqua" w:cs="Times New Roman"/>
      <w:b/>
      <w:i w:val="false"/>
      <w:sz w:val="24"/>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ascii="Book Antiqua" w:hAnsi="Book Antiqua" w:cs="Times New Roman"/>
      <w:b/>
      <w:i w:val="false"/>
      <w:sz w:val="24"/>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ascii="Book Antiqua" w:hAnsi="Book Antiqua" w:cs="Times New Roman"/>
      <w:b/>
      <w:i w:val="false"/>
      <w:sz w:val="24"/>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ascii="Book Antiqua" w:hAnsi="Book Antiqua" w:cs="Times New Roman"/>
      <w:b/>
      <w:i w:val="false"/>
      <w:sz w:val="24"/>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ascii="Book Antiqua" w:hAnsi="Book Antiqua" w:cs="Times New Roman"/>
      <w:b/>
      <w:i w:val="false"/>
      <w:sz w:val="24"/>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ascii="Book Antiqua" w:hAnsi="Book Antiqua" w:cs="Times New Roman"/>
      <w:b/>
      <w:i w:val="false"/>
      <w:sz w:val="24"/>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ascii="Book Antiqua" w:hAnsi="Book Antiqua" w:cs="Times New Roman"/>
      <w:b/>
      <w:i w:val="false"/>
      <w:sz w:val="24"/>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ascii="Book Antiqua" w:hAnsi="Book Antiqua" w:cs="Times New Roman"/>
      <w:b/>
      <w:sz w:val="24"/>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ascii="Book Antiqua" w:hAnsi="Book Antiqua" w:cs="Times New Roman"/>
      <w:b/>
      <w:sz w:val="24"/>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ascii="Book Antiqua" w:hAnsi="Book Antiqua" w:cs="Times New Roman"/>
      <w:b/>
      <w:sz w:val="24"/>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Book Antiqua" w:hAnsi="Book Antiqua"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ascii="Book Antiqua" w:hAnsi="Book Antiqua" w:cs="Times New Roman"/>
      <w:b/>
      <w:sz w:val="24"/>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ascii="Book Antiqua" w:hAnsi="Book Antiqua" w:cs="Times New Roman"/>
      <w:b/>
      <w:sz w:val="24"/>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ascii="Book Antiqua" w:hAnsi="Book Antiqua" w:cs="Times New Roman"/>
      <w:b/>
      <w:sz w:val="24"/>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ascii="Book Antiqua" w:hAnsi="Book Antiqua" w:cs="Times New Roman"/>
      <w:b/>
      <w:sz w:val="24"/>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ascii="Book Antiqua" w:hAnsi="Book Antiqua" w:cs="Times New Roman"/>
      <w:b/>
      <w:sz w:val="24"/>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ascii="Book Antiqua" w:hAnsi="Book Antiqua" w:cs="Times New Roman"/>
      <w:b/>
      <w:sz w:val="24"/>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ascii="Book Antiqua" w:hAnsi="Book Antiqua" w:cs="Times New Roman"/>
      <w:b/>
      <w:sz w:val="24"/>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ascii="Book Antiqua" w:hAnsi="Book Antiqua" w:cs="Times New Roman"/>
      <w:b/>
      <w:sz w:val="24"/>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ascii="Book Antiqua" w:hAnsi="Book Antiqua" w:cs="Times New Roman"/>
      <w:b/>
      <w:sz w:val="24"/>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Book Antiqua" w:hAnsi="Book Antiqua" w:cs="Times New Roman"/>
      <w:b/>
      <w:sz w:val="24"/>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ascii="Book Antiqua" w:hAnsi="Book Antiqua" w:cs="Times New Roman"/>
      <w:b/>
      <w:sz w:val="24"/>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ascii="Book Antiqua" w:hAnsi="Book Antiqua" w:cs="Times New Roman"/>
      <w:b/>
      <w:sz w:val="24"/>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ascii="Book Antiqua" w:hAnsi="Book Antiqua" w:cs="Times New Roman"/>
      <w:b/>
      <w:sz w:val="24"/>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ascii="Book Antiqua" w:hAnsi="Book Antiqua" w:cs="Times New Roman"/>
      <w:b/>
      <w:color w:val="00000A"/>
      <w:sz w:val="24"/>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ascii="Book Antiqua" w:hAnsi="Book Antiqua" w:cs="Times New Roman"/>
      <w:b/>
      <w:sz w:val="24"/>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ascii="Book Antiqua" w:hAnsi="Book Antiqua" w:cs="Times New Roman"/>
      <w:b/>
      <w:i w:val="false"/>
      <w:sz w:val="24"/>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ascii="Book Antiqua" w:hAnsi="Book Antiqua" w:cs="Times New Roman"/>
      <w:b/>
      <w:i w:val="false"/>
      <w:sz w:val="24"/>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ascii="Book Antiqua" w:hAnsi="Book Antiqua"/>
      <w:b/>
      <w:sz w:val="24"/>
    </w:rPr>
  </w:style>
  <w:style w:type="character" w:styleId="ListLabel831">
    <w:name w:val="ListLabel 831"/>
    <w:qFormat/>
    <w:rPr>
      <w:rFonts w:ascii="Book Antiqua" w:hAnsi="Book Antiqua"/>
      <w:b/>
      <w:sz w:val="24"/>
    </w:rPr>
  </w:style>
  <w:style w:type="character" w:styleId="ListLabel832">
    <w:name w:val="ListLabel 832"/>
    <w:qFormat/>
    <w:rPr>
      <w:rFonts w:ascii="Book Antiqua" w:hAnsi="Book Antiqua"/>
      <w:b/>
      <w:sz w:val="24"/>
    </w:rPr>
  </w:style>
  <w:style w:type="character" w:styleId="ListLabel833">
    <w:name w:val="ListLabel 833"/>
    <w:qFormat/>
    <w:rPr>
      <w:rFonts w:ascii="Book Antiqua" w:hAnsi="Book Antiqua"/>
      <w:b/>
      <w:sz w:val="24"/>
    </w:rPr>
  </w:style>
  <w:style w:type="character" w:styleId="ListLabel834">
    <w:name w:val="ListLabel 834"/>
    <w:qFormat/>
    <w:rPr>
      <w:rFonts w:ascii="Book Antiqua" w:hAnsi="Book Antiqua"/>
      <w:b/>
      <w:sz w:val="24"/>
    </w:rPr>
  </w:style>
  <w:style w:type="character" w:styleId="ListLabel835">
    <w:name w:val="ListLabel 835"/>
    <w:qFormat/>
    <w:rPr>
      <w:rFonts w:ascii="Book Antiqua" w:hAnsi="Book Antiqua"/>
      <w:b/>
      <w:sz w:val="24"/>
    </w:rPr>
  </w:style>
  <w:style w:type="character" w:styleId="ListLabel836">
    <w:name w:val="ListLabel 836"/>
    <w:qFormat/>
    <w:rPr>
      <w:rFonts w:ascii="Book Antiqua" w:hAnsi="Book Antiqua"/>
      <w:b/>
      <w:sz w:val="24"/>
    </w:rPr>
  </w:style>
  <w:style w:type="character" w:styleId="ListLabel837">
    <w:name w:val="ListLabel 837"/>
    <w:qFormat/>
    <w:rPr>
      <w:rFonts w:ascii="Book Antiqua" w:hAnsi="Book Antiqua"/>
      <w:b/>
      <w:sz w:val="24"/>
    </w:rPr>
  </w:style>
  <w:style w:type="character" w:styleId="ListLabel838">
    <w:name w:val="ListLabel 838"/>
    <w:qFormat/>
    <w:rPr>
      <w:rFonts w:ascii="Book Antiqua" w:hAnsi="Book Antiqua" w:eastAsia="Calibri"/>
      <w:b/>
      <w:sz w:val="24"/>
    </w:rPr>
  </w:style>
  <w:style w:type="character" w:styleId="ListLabel839">
    <w:name w:val="ListLabel 839"/>
    <w:qFormat/>
    <w:rPr>
      <w:rFonts w:ascii="Book Antiqua" w:hAnsi="Book Antiqua" w:eastAsia="Calibri"/>
      <w:b/>
      <w:sz w:val="24"/>
    </w:rPr>
  </w:style>
  <w:style w:type="character" w:styleId="ListLabel840">
    <w:name w:val="ListLabel 840"/>
    <w:qFormat/>
    <w:rPr>
      <w:rFonts w:ascii="Book Antiqua" w:hAnsi="Book Antiqua"/>
      <w:b/>
      <w:sz w:val="24"/>
    </w:rPr>
  </w:style>
  <w:style w:type="character" w:styleId="ListLabel841">
    <w:name w:val="ListLabel 841"/>
    <w:qFormat/>
    <w:rPr>
      <w:rFonts w:ascii="Book Antiqua" w:hAnsi="Book Antiqua"/>
      <w:b/>
      <w:sz w:val="24"/>
    </w:rPr>
  </w:style>
  <w:style w:type="character" w:styleId="ListLabel842">
    <w:name w:val="ListLabel 842"/>
    <w:qFormat/>
    <w:rPr>
      <w:rFonts w:ascii="Book Antiqua" w:hAnsi="Book Antiqua"/>
      <w:b/>
      <w:sz w:val="24"/>
    </w:rPr>
  </w:style>
  <w:style w:type="character" w:styleId="ListLabel843">
    <w:name w:val="ListLabel 843"/>
    <w:qFormat/>
    <w:rPr>
      <w:rFonts w:ascii="Book Antiqua" w:hAnsi="Book Antiqua"/>
      <w:b/>
      <w:sz w:val="24"/>
    </w:rPr>
  </w:style>
  <w:style w:type="character" w:styleId="ListLabel844">
    <w:name w:val="ListLabel 844"/>
    <w:qFormat/>
    <w:rPr>
      <w:rFonts w:ascii="Book Antiqua" w:hAnsi="Book Antiqua"/>
      <w:b/>
      <w:sz w:val="24"/>
    </w:rPr>
  </w:style>
  <w:style w:type="character" w:styleId="ListLabel845">
    <w:name w:val="ListLabel 845"/>
    <w:qFormat/>
    <w:rPr>
      <w:rFonts w:ascii="Book Antiqua" w:hAnsi="Book Antiqua"/>
      <w:b/>
      <w:sz w:val="24"/>
    </w:rPr>
  </w:style>
  <w:style w:type="character" w:styleId="ListLabel846">
    <w:name w:val="ListLabel 846"/>
    <w:qFormat/>
    <w:rPr>
      <w:rFonts w:ascii="Book Antiqua" w:hAnsi="Book Antiqua"/>
      <w:b/>
      <w:sz w:val="24"/>
    </w:rPr>
  </w:style>
  <w:style w:type="character" w:styleId="ListLabel847">
    <w:name w:val="ListLabel 847"/>
    <w:qFormat/>
    <w:rPr>
      <w:rFonts w:ascii="Book Antiqua" w:hAnsi="Book Antiqua"/>
      <w:b/>
      <w:sz w:val="24"/>
    </w:rPr>
  </w:style>
  <w:style w:type="character" w:styleId="ListLabel848">
    <w:name w:val="ListLabel 848"/>
    <w:qFormat/>
    <w:rPr>
      <w:rFonts w:ascii="Book Antiqua" w:hAnsi="Book Antiqua"/>
      <w:b/>
      <w:sz w:val="24"/>
    </w:rPr>
  </w:style>
  <w:style w:type="character" w:styleId="ListLabel849">
    <w:name w:val="ListLabel 849"/>
    <w:qFormat/>
    <w:rPr>
      <w:rFonts w:ascii="Book Antiqua" w:hAnsi="Book Antiqua"/>
      <w:b/>
      <w:sz w:val="24"/>
    </w:rPr>
  </w:style>
  <w:style w:type="character" w:styleId="ListLabel850">
    <w:name w:val="ListLabel 850"/>
    <w:qFormat/>
    <w:rPr>
      <w:rFonts w:ascii="Book Antiqua" w:hAnsi="Book Antiqua"/>
      <w:b/>
      <w:sz w:val="24"/>
    </w:rPr>
  </w:style>
  <w:style w:type="character" w:styleId="ListLabel851">
    <w:name w:val="ListLabel 851"/>
    <w:qFormat/>
    <w:rPr>
      <w:rFonts w:ascii="Book Antiqua" w:hAnsi="Book Antiqua"/>
      <w:b/>
      <w:sz w:val="24"/>
    </w:rPr>
  </w:style>
  <w:style w:type="character" w:styleId="ListLabel852">
    <w:name w:val="ListLabel 852"/>
    <w:qFormat/>
    <w:rPr>
      <w:rFonts w:ascii="Book Antiqua" w:hAnsi="Book Antiqua"/>
      <w:b/>
      <w:sz w:val="24"/>
    </w:rPr>
  </w:style>
  <w:style w:type="character" w:styleId="ListLabel853">
    <w:name w:val="ListLabel 853"/>
    <w:qFormat/>
    <w:rPr>
      <w:rFonts w:ascii="Book Antiqua" w:hAnsi="Book Antiqua"/>
      <w:b/>
      <w:sz w:val="24"/>
    </w:rPr>
  </w:style>
  <w:style w:type="character" w:styleId="ListLabel854">
    <w:name w:val="ListLabel 854"/>
    <w:qFormat/>
    <w:rPr>
      <w:rFonts w:ascii="Book Antiqua" w:hAnsi="Book Antiqua"/>
      <w:b/>
      <w:sz w:val="24"/>
    </w:rPr>
  </w:style>
  <w:style w:type="character" w:styleId="ListLabel855">
    <w:name w:val="ListLabel 855"/>
    <w:qFormat/>
    <w:rPr>
      <w:rFonts w:ascii="Book Antiqua" w:hAnsi="Book Antiqua"/>
      <w:b/>
      <w:sz w:val="24"/>
      <w:szCs w:val="24"/>
    </w:rPr>
  </w:style>
  <w:style w:type="character" w:styleId="ListLabel856">
    <w:name w:val="ListLabel 856"/>
    <w:qFormat/>
    <w:rPr>
      <w:rFonts w:ascii="Book Antiqua" w:hAnsi="Book Antiqua"/>
      <w:b/>
      <w:sz w:val="24"/>
    </w:rPr>
  </w:style>
  <w:style w:type="character" w:styleId="ListLabel857">
    <w:name w:val="ListLabel 857"/>
    <w:qFormat/>
    <w:rPr>
      <w:rFonts w:ascii="Book Antiqua" w:hAnsi="Book Antiqua"/>
      <w:b/>
      <w:sz w:val="24"/>
    </w:rPr>
  </w:style>
  <w:style w:type="character" w:styleId="ListLabel858">
    <w:name w:val="ListLabel 858"/>
    <w:qFormat/>
    <w:rPr>
      <w:rFonts w:ascii="Book Antiqua" w:hAnsi="Book Antiqua"/>
      <w:b/>
      <w:sz w:val="24"/>
    </w:rPr>
  </w:style>
  <w:style w:type="character" w:styleId="ListLabel859">
    <w:name w:val="ListLabel 859"/>
    <w:qFormat/>
    <w:rPr>
      <w:rFonts w:ascii="Book Antiqua" w:hAnsi="Book Antiqua"/>
      <w:b/>
      <w:sz w:val="24"/>
    </w:rPr>
  </w:style>
  <w:style w:type="character" w:styleId="ListLabel860">
    <w:name w:val="ListLabel 860"/>
    <w:qFormat/>
    <w:rPr>
      <w:rFonts w:ascii="Book Antiqua" w:hAnsi="Book Antiqua"/>
      <w:b/>
      <w:sz w:val="24"/>
    </w:rPr>
  </w:style>
  <w:style w:type="character" w:styleId="ListLabel861">
    <w:name w:val="ListLabel 861"/>
    <w:qFormat/>
    <w:rPr>
      <w:rFonts w:ascii="Book Antiqua" w:hAnsi="Book Antiqua"/>
      <w:b/>
      <w:sz w:val="24"/>
    </w:rPr>
  </w:style>
  <w:style w:type="character" w:styleId="ListLabel862">
    <w:name w:val="ListLabel 862"/>
    <w:qFormat/>
    <w:rPr>
      <w:rFonts w:ascii="Book Antiqua" w:hAnsi="Book Antiqua"/>
      <w:b/>
      <w:sz w:val="24"/>
    </w:rPr>
  </w:style>
  <w:style w:type="character" w:styleId="ListLabel863">
    <w:name w:val="ListLabel 863"/>
    <w:qFormat/>
    <w:rPr>
      <w:rFonts w:ascii="Book Antiqua" w:hAnsi="Book Antiqua"/>
      <w:b/>
      <w:sz w:val="24"/>
    </w:rPr>
  </w:style>
  <w:style w:type="character" w:styleId="ListLabel864">
    <w:name w:val="ListLabel 864"/>
    <w:qFormat/>
    <w:rPr>
      <w:b/>
    </w:rPr>
  </w:style>
  <w:style w:type="character" w:styleId="ListLabel865">
    <w:name w:val="ListLabel 865"/>
    <w:qFormat/>
    <w:rPr>
      <w:rFonts w:ascii="Book Antiqua" w:hAnsi="Book Antiqua"/>
      <w:b/>
      <w:sz w:val="24"/>
    </w:rPr>
  </w:style>
  <w:style w:type="character" w:styleId="ListLabel866">
    <w:name w:val="ListLabel 866"/>
    <w:qFormat/>
    <w:rPr>
      <w:rFonts w:ascii="Book Antiqua" w:hAnsi="Book Antiqua"/>
      <w:b/>
      <w:sz w:val="24"/>
    </w:rPr>
  </w:style>
  <w:style w:type="character" w:styleId="ListLabel867">
    <w:name w:val="ListLabel 867"/>
    <w:qFormat/>
    <w:rPr>
      <w:rFonts w:ascii="Book Antiqua" w:hAnsi="Book Antiqua"/>
      <w:b/>
      <w:sz w:val="24"/>
    </w:rPr>
  </w:style>
  <w:style w:type="character" w:styleId="ListLabel868">
    <w:name w:val="ListLabel 868"/>
    <w:qFormat/>
    <w:rPr>
      <w:rFonts w:ascii="Book Antiqua" w:hAnsi="Book Antiqua"/>
      <w:b/>
      <w:sz w:val="24"/>
    </w:rPr>
  </w:style>
  <w:style w:type="character" w:styleId="ListLabel869">
    <w:name w:val="ListLabel 869"/>
    <w:qFormat/>
    <w:rPr>
      <w:rFonts w:ascii="Book Antiqua" w:hAnsi="Book Antiqua"/>
      <w:b/>
      <w:sz w:val="24"/>
    </w:rPr>
  </w:style>
  <w:style w:type="character" w:styleId="ListLabel870">
    <w:name w:val="ListLabel 870"/>
    <w:qFormat/>
    <w:rPr>
      <w:rFonts w:ascii="Book Antiqua" w:hAnsi="Book Antiqua"/>
      <w:b/>
      <w:sz w:val="24"/>
    </w:rPr>
  </w:style>
  <w:style w:type="character" w:styleId="ListLabel871">
    <w:name w:val="ListLabel 871"/>
    <w:qFormat/>
    <w:rPr>
      <w:rFonts w:ascii="Book Antiqua" w:hAnsi="Book Antiqua"/>
      <w:b/>
      <w:sz w:val="24"/>
    </w:rPr>
  </w:style>
  <w:style w:type="character" w:styleId="ListLabel872">
    <w:name w:val="ListLabel 872"/>
    <w:qFormat/>
    <w:rPr>
      <w:rFonts w:ascii="Book Antiqua" w:hAnsi="Book Antiqua"/>
      <w:b/>
      <w:sz w:val="24"/>
    </w:rPr>
  </w:style>
  <w:style w:type="character" w:styleId="ListLabel873">
    <w:name w:val="ListLabel 873"/>
    <w:qFormat/>
    <w:rPr>
      <w:rFonts w:ascii="Book Antiqua" w:hAnsi="Book Antiqua" w:cs="Times New Roman"/>
      <w:b/>
      <w:sz w:val="24"/>
    </w:rPr>
  </w:style>
  <w:style w:type="character" w:styleId="ListLabel874">
    <w:name w:val="ListLabel 874"/>
    <w:qFormat/>
    <w:rPr>
      <w:rFonts w:cs="Times New Roman"/>
      <w:b/>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ascii="Book Antiqua" w:hAnsi="Book Antiqua"/>
      <w:b/>
      <w:sz w:val="24"/>
    </w:rPr>
  </w:style>
  <w:style w:type="character" w:styleId="ListLabel883">
    <w:name w:val="ListLabel 883"/>
    <w:qFormat/>
    <w:rPr>
      <w:rFonts w:ascii="Book Antiqua" w:hAnsi="Book Antiqua"/>
      <w:b/>
      <w:sz w:val="24"/>
    </w:rPr>
  </w:style>
  <w:style w:type="character" w:styleId="ListLabel884">
    <w:name w:val="ListLabel 884"/>
    <w:qFormat/>
    <w:rPr>
      <w:rFonts w:ascii="Book Antiqua" w:hAnsi="Book Antiqua"/>
      <w:b/>
      <w:sz w:val="24"/>
    </w:rPr>
  </w:style>
  <w:style w:type="character" w:styleId="ListLabel885">
    <w:name w:val="ListLabel 885"/>
    <w:qFormat/>
    <w:rPr>
      <w:rFonts w:ascii="Book Antiqua" w:hAnsi="Book Antiqua"/>
      <w:b/>
      <w:sz w:val="24"/>
    </w:rPr>
  </w:style>
  <w:style w:type="character" w:styleId="ListLabel886">
    <w:name w:val="ListLabel 886"/>
    <w:qFormat/>
    <w:rPr>
      <w:rFonts w:ascii="Book Antiqua" w:hAnsi="Book Antiqua"/>
      <w:b/>
      <w:sz w:val="24"/>
    </w:rPr>
  </w:style>
  <w:style w:type="character" w:styleId="ListLabel887">
    <w:name w:val="ListLabel 887"/>
    <w:qFormat/>
    <w:rPr>
      <w:rFonts w:ascii="Book Antiqua" w:hAnsi="Book Antiqua"/>
      <w:b/>
      <w:sz w:val="24"/>
    </w:rPr>
  </w:style>
  <w:style w:type="character" w:styleId="ListLabel888">
    <w:name w:val="ListLabel 888"/>
    <w:qFormat/>
    <w:rPr>
      <w:rFonts w:ascii="Book Antiqua" w:hAnsi="Book Antiqua"/>
      <w:b/>
      <w:sz w:val="24"/>
    </w:rPr>
  </w:style>
  <w:style w:type="character" w:styleId="ListLabel889">
    <w:name w:val="ListLabel 889"/>
    <w:qFormat/>
    <w:rPr>
      <w:rFonts w:ascii="Book Antiqua" w:hAnsi="Book Antiqua"/>
      <w:b/>
      <w:sz w:val="24"/>
    </w:rPr>
  </w:style>
  <w:style w:type="character" w:styleId="ListLabel890">
    <w:name w:val="ListLabel 890"/>
    <w:qFormat/>
    <w:rPr>
      <w:rFonts w:ascii="Book Antiqua" w:hAnsi="Book Antiqua"/>
      <w:b/>
      <w:sz w:val="24"/>
    </w:rPr>
  </w:style>
  <w:style w:type="character" w:styleId="ListLabel891">
    <w:name w:val="ListLabel 891"/>
    <w:qFormat/>
    <w:rPr>
      <w:rFonts w:ascii="Book Antiqua" w:hAnsi="Book Antiqua"/>
      <w:b/>
      <w:sz w:val="24"/>
    </w:rPr>
  </w:style>
  <w:style w:type="character" w:styleId="ListLabel892">
    <w:name w:val="ListLabel 892"/>
    <w:qFormat/>
    <w:rPr>
      <w:rFonts w:ascii="Book Antiqua" w:hAnsi="Book Antiqua"/>
      <w:b/>
      <w:sz w:val="24"/>
    </w:rPr>
  </w:style>
  <w:style w:type="character" w:styleId="ListLabel893">
    <w:name w:val="ListLabel 893"/>
    <w:qFormat/>
    <w:rPr>
      <w:rFonts w:ascii="Book Antiqua" w:hAnsi="Book Antiqua"/>
      <w:b/>
      <w:sz w:val="24"/>
    </w:rPr>
  </w:style>
  <w:style w:type="character" w:styleId="ListLabel894">
    <w:name w:val="ListLabel 894"/>
    <w:qFormat/>
    <w:rPr>
      <w:rFonts w:ascii="Book Antiqua" w:hAnsi="Book Antiqua"/>
      <w:b/>
      <w:sz w:val="24"/>
    </w:rPr>
  </w:style>
  <w:style w:type="character" w:styleId="ListLabel895">
    <w:name w:val="ListLabel 895"/>
    <w:qFormat/>
    <w:rPr>
      <w:rFonts w:ascii="Book Antiqua" w:hAnsi="Book Antiqua"/>
      <w:b/>
      <w:sz w:val="24"/>
    </w:rPr>
  </w:style>
  <w:style w:type="character" w:styleId="ListLabel896">
    <w:name w:val="ListLabel 896"/>
    <w:qFormat/>
    <w:rPr>
      <w:rFonts w:ascii="Book Antiqua" w:hAnsi="Book Antiqua"/>
      <w:b/>
      <w:sz w:val="24"/>
    </w:rPr>
  </w:style>
  <w:style w:type="character" w:styleId="ListLabel897">
    <w:name w:val="ListLabel 897"/>
    <w:qFormat/>
    <w:rPr>
      <w:rFonts w:ascii="Book Antiqua" w:hAnsi="Book Antiqua"/>
      <w:b/>
      <w:sz w:val="24"/>
    </w:rPr>
  </w:style>
  <w:style w:type="character" w:styleId="ListLabel898">
    <w:name w:val="ListLabel 898"/>
    <w:qFormat/>
    <w:rPr>
      <w:rFonts w:ascii="Book Antiqua" w:hAnsi="Book Antiqua"/>
      <w:b/>
      <w:sz w:val="24"/>
    </w:rPr>
  </w:style>
  <w:style w:type="character" w:styleId="ListLabel899">
    <w:name w:val="ListLabel 899"/>
    <w:qFormat/>
    <w:rPr>
      <w:rFonts w:ascii="Book Antiqua" w:hAnsi="Book Antiqua"/>
      <w:b/>
      <w:sz w:val="24"/>
    </w:rPr>
  </w:style>
  <w:style w:type="character" w:styleId="ListLabel900">
    <w:name w:val="ListLabel 900"/>
    <w:qFormat/>
    <w:rPr>
      <w:rFonts w:ascii="Book Antiqua" w:hAnsi="Book Antiqua"/>
      <w:b/>
      <w:sz w:val="24"/>
    </w:rPr>
  </w:style>
  <w:style w:type="character" w:styleId="ListLabel901">
    <w:name w:val="ListLabel 901"/>
    <w:qFormat/>
    <w:rPr>
      <w:rFonts w:ascii="Book Antiqua" w:hAnsi="Book Antiqua"/>
      <w:b/>
      <w:sz w:val="24"/>
    </w:rPr>
  </w:style>
  <w:style w:type="character" w:styleId="ListLabel902">
    <w:name w:val="ListLabel 902"/>
    <w:qFormat/>
    <w:rPr>
      <w:rFonts w:ascii="Book Antiqua" w:hAnsi="Book Antiqua"/>
      <w:b/>
      <w:sz w:val="24"/>
    </w:rPr>
  </w:style>
  <w:style w:type="character" w:styleId="ListLabel903">
    <w:name w:val="ListLabel 903"/>
    <w:qFormat/>
    <w:rPr>
      <w:rFonts w:ascii="Book Antiqua" w:hAnsi="Book Antiqua"/>
      <w:b/>
      <w:sz w:val="24"/>
    </w:rPr>
  </w:style>
  <w:style w:type="character" w:styleId="ListLabel904">
    <w:name w:val="ListLabel 904"/>
    <w:qFormat/>
    <w:rPr>
      <w:rFonts w:ascii="Book Antiqua" w:hAnsi="Book Antiqua"/>
      <w:b/>
      <w:i w:val="false"/>
      <w:color w:val="000000"/>
      <w:sz w:val="24"/>
    </w:rPr>
  </w:style>
  <w:style w:type="character" w:styleId="ListLabel905">
    <w:name w:val="ListLabel 905"/>
    <w:qFormat/>
    <w:rPr>
      <w:rFonts w:ascii="Book Antiqua" w:hAnsi="Book Antiqua"/>
      <w:b/>
      <w:sz w:val="24"/>
    </w:rPr>
  </w:style>
  <w:style w:type="character" w:styleId="ListLabel906">
    <w:name w:val="ListLabel 906"/>
    <w:qFormat/>
    <w:rPr>
      <w:rFonts w:ascii="Book Antiqua" w:hAnsi="Book Antiqua"/>
      <w:b/>
      <w:sz w:val="24"/>
    </w:rPr>
  </w:style>
  <w:style w:type="character" w:styleId="ListLabel907">
    <w:name w:val="ListLabel 907"/>
    <w:qFormat/>
    <w:rPr>
      <w:rFonts w:ascii="Book Antiqua" w:hAnsi="Book Antiqua"/>
      <w:b/>
      <w:color w:val="00000A"/>
      <w:sz w:val="24"/>
    </w:rPr>
  </w:style>
  <w:style w:type="character" w:styleId="ListLabel908">
    <w:name w:val="ListLabel 908"/>
    <w:qFormat/>
    <w:rPr>
      <w:rFonts w:ascii="Book Antiqua" w:hAnsi="Book Antiqua"/>
      <w:b/>
      <w:sz w:val="24"/>
    </w:rPr>
  </w:style>
  <w:style w:type="character" w:styleId="ListLabel909">
    <w:name w:val="ListLabel 909"/>
    <w:qFormat/>
    <w:rPr>
      <w:rFonts w:ascii="Book Antiqua" w:hAnsi="Book Antiqua"/>
      <w:b/>
      <w:sz w:val="24"/>
    </w:rPr>
  </w:style>
  <w:style w:type="paragraph" w:styleId="Style13">
    <w:name w:val="Επικεφαλίδα"/>
    <w:basedOn w:val="Normal"/>
    <w:next w:val="Style14"/>
    <w:qFormat/>
    <w:pPr>
      <w:keepNext/>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Ευρετήριο"/>
    <w:basedOn w:val="Normal"/>
    <w:qFormat/>
    <w:pPr>
      <w:suppressLineNumbers/>
    </w:pPr>
    <w:rPr>
      <w:rFonts w:cs="Lohit Devanagari"/>
    </w:rPr>
  </w:style>
  <w:style w:type="paragraph" w:styleId="11" w:customStyle="1">
    <w:name w:val="Χωρίς διάστιχο1"/>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311pt" w:customStyle="1">
    <w:name w:val="Στυλ Επικεφαλίδα 3 + 11 pt Όχι Έντονα"/>
    <w:basedOn w:val="3"/>
    <w:link w:val="311ptChar"/>
    <w:autoRedefine/>
    <w:qFormat/>
    <w:rsid w:val="008a10a9"/>
    <w:pPr>
      <w:keepLines w:val="false"/>
      <w:spacing w:lineRule="auto" w:line="360" w:before="240" w:after="60"/>
      <w:ind w:right="26" w:hanging="0"/>
      <w:jc w:val="center"/>
    </w:pPr>
    <w:rPr>
      <w:rFonts w:ascii="Book Antiqua" w:hAnsi="Book Antiqua" w:eastAsia="Calibri"/>
      <w:b w:val="false"/>
      <w:bCs w:val="false"/>
      <w:color w:val="00000A"/>
      <w:sz w:val="24"/>
      <w:szCs w:val="24"/>
      <w:lang w:eastAsia="el-GR"/>
    </w:rPr>
  </w:style>
  <w:style w:type="paragraph" w:styleId="ListParagraph">
    <w:name w:val="List Paragraph"/>
    <w:basedOn w:val="Normal"/>
    <w:uiPriority w:val="34"/>
    <w:qFormat/>
    <w:rsid w:val="00c16404"/>
    <w:pPr>
      <w:spacing w:before="0" w:after="200"/>
      <w:ind w:left="720" w:hanging="0"/>
      <w:contextualSpacing/>
    </w:pPr>
    <w:rPr/>
  </w:style>
  <w:style w:type="paragraph" w:styleId="Annotationtext">
    <w:name w:val="annotation text"/>
    <w:basedOn w:val="Normal"/>
    <w:link w:val="Char"/>
    <w:uiPriority w:val="99"/>
    <w:semiHidden/>
    <w:unhideWhenUsed/>
    <w:qFormat/>
    <w:rsid w:val="00c16404"/>
    <w:pPr>
      <w:spacing w:lineRule="auto" w:line="240"/>
    </w:pPr>
    <w:rPr>
      <w:rFonts w:eastAsia="Times New Roman"/>
      <w:sz w:val="20"/>
      <w:szCs w:val="20"/>
      <w:lang w:eastAsia="el-GR"/>
    </w:rPr>
  </w:style>
  <w:style w:type="paragraph" w:styleId="BalloonText">
    <w:name w:val="Balloon Text"/>
    <w:basedOn w:val="Normal"/>
    <w:link w:val="Char0"/>
    <w:uiPriority w:val="99"/>
    <w:semiHidden/>
    <w:unhideWhenUsed/>
    <w:qFormat/>
    <w:rsid w:val="00c16404"/>
    <w:pPr>
      <w:spacing w:lineRule="auto" w:line="240" w:before="0" w:after="0"/>
    </w:pPr>
    <w:rPr>
      <w:rFonts w:ascii="Tahoma" w:hAnsi="Tahoma" w:cs="Tahoma"/>
      <w:sz w:val="16"/>
      <w:szCs w:val="16"/>
    </w:rPr>
  </w:style>
  <w:style w:type="paragraph" w:styleId="Annotationsubject">
    <w:name w:val="annotation subject"/>
    <w:basedOn w:val="Annotationtext"/>
    <w:link w:val="Char1"/>
    <w:uiPriority w:val="99"/>
    <w:semiHidden/>
    <w:unhideWhenUsed/>
    <w:qFormat/>
    <w:rsid w:val="00c16404"/>
    <w:pPr/>
    <w:rPr>
      <w:rFonts w:eastAsia="Calibri"/>
      <w:b/>
      <w:bCs/>
      <w:lang w:eastAsia="en-US"/>
    </w:rPr>
  </w:style>
  <w:style w:type="paragraph" w:styleId="HTMLPreformatted">
    <w:name w:val="HTML Preformatted"/>
    <w:basedOn w:val="Normal"/>
    <w:link w:val="-HTMLChar"/>
    <w:uiPriority w:val="99"/>
    <w:unhideWhenUsed/>
    <w:qFormat/>
    <w:rsid w:val="00c16404"/>
    <w:pPr>
      <w:spacing w:lineRule="auto" w:line="240" w:before="0" w:after="0"/>
    </w:pPr>
    <w:rPr>
      <w:rFonts w:ascii="Consolas" w:hAnsi="Consolas"/>
      <w:sz w:val="20"/>
      <w:szCs w:val="20"/>
    </w:rPr>
  </w:style>
  <w:style w:type="paragraph" w:styleId="12" w:customStyle="1">
    <w:name w:val="Παράγραφος λίστας1"/>
    <w:basedOn w:val="Normal"/>
    <w:qFormat/>
    <w:rsid w:val="00c16404"/>
    <w:pPr>
      <w:spacing w:before="0" w:after="200"/>
      <w:ind w:left="720" w:hanging="0"/>
      <w:contextualSpacing/>
    </w:pPr>
    <w:rPr>
      <w:rFonts w:eastAsia="Times New Roman"/>
    </w:rPr>
  </w:style>
  <w:style w:type="paragraph" w:styleId="311pt1" w:customStyle="1">
    <w:name w:val="Στυλ Στυλ Επικεφαλίδα 3 + 11 pt Όχι Έντονα + Μαύρο1"/>
    <w:basedOn w:val="311pt"/>
    <w:link w:val="311pt1Char"/>
    <w:autoRedefine/>
    <w:qFormat/>
    <w:rsid w:val="00e2120a"/>
    <w:pPr/>
    <w:rPr>
      <w:rFonts w:eastAsia="Times New Roman"/>
      <w:b/>
    </w:rPr>
  </w:style>
  <w:style w:type="paragraph" w:styleId="311pt2" w:customStyle="1">
    <w:name w:val="Στυλ Στυλ Επικεφαλίδα 3 + 11 pt Όχι Έντονα + Μαύρο"/>
    <w:basedOn w:val="311pt"/>
    <w:link w:val="311ptChar0"/>
    <w:autoRedefine/>
    <w:qFormat/>
    <w:rsid w:val="00c16404"/>
    <w:pPr/>
    <w:rPr>
      <w:rFonts w:ascii="Arial" w:hAnsi="Arial" w:eastAsia="Times New Roman"/>
      <w:b/>
      <w:sz w:val="20"/>
      <w:szCs w:val="20"/>
    </w:rPr>
  </w:style>
  <w:style w:type="paragraph" w:styleId="NoSpacing1" w:customStyle="1">
    <w:name w:val="No Spacing1"/>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21" w:customStyle="1">
    <w:name w:val="Χωρίς διάστιχο2"/>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22" w:customStyle="1">
    <w:name w:val="Παράγραφος λίστας2"/>
    <w:basedOn w:val="Normal"/>
    <w:qFormat/>
    <w:rsid w:val="00c16404"/>
    <w:pPr>
      <w:spacing w:before="0" w:after="200"/>
      <w:ind w:left="720" w:hanging="0"/>
      <w:contextualSpacing/>
    </w:pPr>
    <w:rPr>
      <w:rFonts w:eastAsia="Times New Roman"/>
    </w:rPr>
  </w:style>
  <w:style w:type="paragraph" w:styleId="Style18">
    <w:name w:val="Footer"/>
    <w:basedOn w:val="Normal"/>
    <w:link w:val="Char2"/>
    <w:uiPriority w:val="99"/>
    <w:rsid w:val="002067a6"/>
    <w:pPr>
      <w:tabs>
        <w:tab w:val="center" w:pos="4153" w:leader="none"/>
        <w:tab w:val="right" w:pos="8306" w:leader="none"/>
      </w:tabs>
    </w:pPr>
    <w:rPr/>
  </w:style>
  <w:style w:type="paragraph" w:styleId="Default" w:customStyle="1">
    <w:name w:val="Default"/>
    <w:uiPriority w:val="99"/>
    <w:qFormat/>
    <w:rsid w:val="00560a30"/>
    <w:pPr>
      <w:widowControl/>
      <w:bidi w:val="0"/>
      <w:jc w:val="left"/>
    </w:pPr>
    <w:rPr>
      <w:rFonts w:ascii="Arial" w:hAnsi="Arial" w:cs="Arial" w:eastAsia="Times New Roman"/>
      <w:color w:val="000000"/>
      <w:sz w:val="24"/>
      <w:szCs w:val="24"/>
      <w:lang w:val="el-GR" w:eastAsia="el-GR" w:bidi="ar-SA"/>
    </w:rPr>
  </w:style>
  <w:style w:type="paragraph" w:styleId="Western" w:customStyle="1">
    <w:name w:val="western"/>
    <w:basedOn w:val="Normal"/>
    <w:qFormat/>
    <w:rsid w:val="00560a30"/>
    <w:pPr>
      <w:spacing w:lineRule="auto" w:line="240" w:beforeAutospacing="1" w:afterAutospacing="1"/>
    </w:pPr>
    <w:rPr>
      <w:rFonts w:ascii="Times New Roman" w:hAnsi="Times New Roman" w:eastAsia="Times New Roman"/>
      <w:sz w:val="24"/>
      <w:szCs w:val="24"/>
      <w:lang w:eastAsia="el-GR"/>
    </w:rPr>
  </w:style>
  <w:style w:type="paragraph" w:styleId="Revision">
    <w:name w:val="Revision"/>
    <w:uiPriority w:val="99"/>
    <w:semiHidden/>
    <w:qFormat/>
    <w:rsid w:val="00560a30"/>
    <w:pPr>
      <w:widowControl/>
      <w:bidi w:val="0"/>
      <w:jc w:val="left"/>
    </w:pPr>
    <w:rPr>
      <w:rFonts w:ascii="Times New Roman" w:hAnsi="Times New Roman" w:eastAsia="Times New Roman" w:cs="Times New Roman"/>
      <w:color w:val="auto"/>
      <w:sz w:val="24"/>
      <w:szCs w:val="24"/>
      <w:lang w:val="en-GB" w:eastAsia="el-GR" w:bidi="ar-SA"/>
    </w:rPr>
  </w:style>
  <w:style w:type="paragraph" w:styleId="Footnotetext">
    <w:name w:val="footnote text"/>
    <w:basedOn w:val="Normal"/>
    <w:link w:val="Char3"/>
    <w:uiPriority w:val="99"/>
    <w:qFormat/>
    <w:rsid w:val="00560a30"/>
    <w:pPr>
      <w:spacing w:lineRule="auto" w:line="240" w:before="0" w:after="0"/>
    </w:pPr>
    <w:rPr>
      <w:rFonts w:ascii="Times New Roman" w:hAnsi="Times New Roman"/>
      <w:sz w:val="20"/>
      <w:szCs w:val="20"/>
      <w:lang w:val="en-GB"/>
    </w:rPr>
  </w:style>
  <w:style w:type="paragraph" w:styleId="Style19">
    <w:name w:val="Header"/>
    <w:basedOn w:val="Normal"/>
    <w:link w:val="Char4"/>
    <w:uiPriority w:val="99"/>
    <w:rsid w:val="00560a30"/>
    <w:pPr>
      <w:tabs>
        <w:tab w:val="center" w:pos="4153" w:leader="none"/>
        <w:tab w:val="right" w:pos="8306" w:leader="none"/>
      </w:tabs>
      <w:spacing w:lineRule="auto" w:line="240" w:before="0" w:after="0"/>
    </w:pPr>
    <w:rPr>
      <w:rFonts w:ascii="Times New Roman" w:hAnsi="Times New Roman"/>
      <w:sz w:val="24"/>
      <w:szCs w:val="24"/>
      <w:lang w:val="en-GB"/>
    </w:rPr>
  </w:style>
  <w:style w:type="paragraph" w:styleId="Gmailmsolistparagraph" w:customStyle="1">
    <w:name w:val="gmail-msolistparagraph"/>
    <w:basedOn w:val="Normal"/>
    <w:qFormat/>
    <w:rsid w:val="00560a30"/>
    <w:pPr>
      <w:spacing w:lineRule="auto" w:line="240" w:beforeAutospacing="1" w:afterAutospacing="1"/>
    </w:pPr>
    <w:rPr>
      <w:rFonts w:ascii="Times New Roman" w:hAnsi="Times New Roman" w:eastAsia="Times New Roman"/>
      <w:sz w:val="24"/>
      <w:szCs w:val="24"/>
      <w:lang w:eastAsia="el-GR"/>
    </w:rPr>
  </w:style>
  <w:style w:type="paragraph" w:styleId="NoSpacing">
    <w:name w:val="No Spacing"/>
    <w:uiPriority w:val="1"/>
    <w:qFormat/>
    <w:rsid w:val="006d5abf"/>
    <w:pPr>
      <w:widowControl/>
      <w:bidi w:val="0"/>
      <w:jc w:val="left"/>
    </w:pPr>
    <w:rPr>
      <w:rFonts w:ascii="Calibri" w:hAnsi="Calibri" w:eastAsia="Calibri" w:cs="Times New Roman"/>
      <w:color w:val="auto"/>
      <w:sz w:val="22"/>
      <w:szCs w:val="22"/>
      <w:lang w:eastAsia="en-US" w:val="el-GR" w:bidi="ar-SA"/>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numbering" w:styleId="13" w:customStyle="1">
    <w:name w:val="Χωρίς λίστα1"/>
    <w:uiPriority w:val="99"/>
    <w:semiHidden/>
    <w:unhideWhenUsed/>
    <w:qFormat/>
    <w:rsid w:val="00560a30"/>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E1DA-85CC-4CDF-884C-051B158B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3</Pages>
  <Words>69593</Words>
  <CharactersWithSpaces>416167</CharactersWithSpaces>
  <Paragraphs>5714</Paragraphs>
  <Company>Petropoulos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2018-04-27T14:56:00Z</dcterms:created>
  <dc:creator>Sergios</dc:creator>
  <dc:description/>
  <dc:language>el-GR</dc:language>
  <cp:lastModifiedBy>Χρίστος Βούζας</cp:lastModifiedBy>
  <cp:lastPrinted>2018-04-20T12:35:00Z</cp:lastPrinted>
  <dcterms:modified xsi:type="dcterms:W3CDTF">2018-04-27T14:56:00Z</dcterms:modified>
  <cp:revision>2</cp:revision>
  <dc:subject/>
  <dc:title>«Μεταρρύθμιση του θεσμικού πλαισίου της Τοπικής Αυτοδιοίκησης – Εμβάθυνση της Δημοκρατίας – Ενίσχυση της Συμμετοχής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Petropoulos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